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b/>
          <w:bCs/>
          <w:sz w:val="28"/>
          <w:szCs w:val="28"/>
        </w:rPr>
        <w:t>Yoruba Drum Notation Language (YDNL): A Software Framework for Encoding and Preserving Yorùbá Polyrhythmic Music</w:t>
      </w:r>
    </w:p>
    <w:p>
      <w:pPr>
        <w:pStyle w:val="Normal"/>
        <w:spacing w:before="0" w:after="20"/>
        <w:jc w:val="center"/>
        <w:rPr/>
      </w:pPr>
      <w:r>
        <w:rPr>
          <w:b/>
          <w:bCs/>
        </w:rPr>
        <w:t>Opeyemi G. Raphael-Ogbe</w:t>
      </w:r>
    </w:p>
    <w:p>
      <w:pPr>
        <w:pStyle w:val="Normal"/>
        <w:spacing w:before="0" w:after="40"/>
        <w:jc w:val="center"/>
        <w:rPr/>
      </w:pPr>
      <w:r>
        <w:rPr>
          <w:i/>
          <w:iCs/>
          <w:sz w:val="22"/>
          <w:szCs w:val="22"/>
        </w:rPr>
        <w:t>Department of Computer Science, Faculty of Computing</w:t>
      </w:r>
    </w:p>
    <w:p>
      <w:pPr>
        <w:pStyle w:val="Normal"/>
        <w:spacing w:before="0" w:after="120"/>
        <w:jc w:val="center"/>
        <w:rPr/>
      </w:pPr>
      <w:r>
        <w:rPr>
          <w:i/>
          <w:iCs/>
          <w:sz w:val="22"/>
          <w:szCs w:val="22"/>
        </w:rPr>
        <w:t>Adekunle Ajasin University, Akungba-Akoko, Ondo State, Nigeria</w:t>
      </w:r>
    </w:p>
    <w:p>
      <w:pPr>
        <w:pStyle w:val="Normal"/>
        <w:bidi w:val="0"/>
        <w:spacing w:before="0" w:after="20"/>
        <w:jc w:val="center"/>
        <w:rPr/>
      </w:pPr>
      <w:r>
        <w:rPr>
          <w:b/>
          <w:bCs/>
        </w:rPr>
        <w:t>Emmanuel T. Ajayi</w:t>
      </w:r>
    </w:p>
    <w:p>
      <w:pPr>
        <w:pStyle w:val="Normal"/>
        <w:spacing w:before="0" w:after="40"/>
        <w:jc w:val="center"/>
        <w:rPr/>
      </w:pPr>
      <w:r>
        <w:rPr>
          <w:i/>
          <w:iCs/>
          <w:sz w:val="22"/>
          <w:szCs w:val="22"/>
        </w:rPr>
        <w:t>Department of Computer Science, Faculty of Computing</w:t>
      </w:r>
    </w:p>
    <w:p>
      <w:pPr>
        <w:pStyle w:val="Normal"/>
        <w:spacing w:before="0" w:after="120"/>
        <w:jc w:val="center"/>
        <w:rPr/>
      </w:pPr>
      <w:r>
        <w:rPr>
          <w:i/>
          <w:iCs/>
          <w:sz w:val="22"/>
          <w:szCs w:val="22"/>
        </w:rPr>
        <w:t>Adekunle Ajasin University, Akungba-Akoko, Ondo State, Nigeria</w:t>
      </w:r>
    </w:p>
    <w:p>
      <w:pPr>
        <w:pStyle w:val="Normal"/>
        <w:spacing w:before="0" w:after="20"/>
        <w:jc w:val="center"/>
        <w:rPr>
          <w:b/>
          <w:bCs/>
        </w:rPr>
      </w:pPr>
      <w:r>
        <w:rPr>
          <w:b/>
          <w:bCs/>
        </w:rPr>
        <w:t>Oluwatosin L. Ogbeide</w:t>
      </w:r>
    </w:p>
    <w:p>
      <w:pPr>
        <w:pStyle w:val="Normal"/>
        <w:spacing w:before="0" w:after="40"/>
        <w:jc w:val="center"/>
        <w:rPr/>
      </w:pPr>
      <w:r>
        <w:rPr>
          <w:i/>
          <w:iCs/>
          <w:sz w:val="22"/>
          <w:szCs w:val="22"/>
        </w:rPr>
        <w:t>Department of Data Science and Artificial Intelligence, Faculty of Computing</w:t>
      </w:r>
    </w:p>
    <w:p>
      <w:pPr>
        <w:pStyle w:val="Normal"/>
        <w:spacing w:before="0" w:after="120"/>
        <w:jc w:val="center"/>
        <w:rPr/>
      </w:pPr>
      <w:r>
        <w:rPr>
          <w:i/>
          <w:iCs/>
          <w:sz w:val="22"/>
          <w:szCs w:val="22"/>
        </w:rPr>
        <w:t>Adekunle Ajasin University, Akungba-Akoko, Ondo State, Nigeria</w:t>
      </w:r>
    </w:p>
    <w:p>
      <w:pPr>
        <w:pStyle w:val="Normal"/>
        <w:spacing w:before="0" w:after="20"/>
        <w:jc w:val="center"/>
        <w:rPr/>
      </w:pPr>
      <w:r>
        <w:rPr>
          <w:b/>
          <w:bCs/>
        </w:rPr>
        <w:t>Olusola O. Ajayi</w:t>
      </w:r>
    </w:p>
    <w:p>
      <w:pPr>
        <w:pStyle w:val="Normal"/>
        <w:spacing w:before="0" w:after="40"/>
        <w:jc w:val="center"/>
        <w:rPr/>
      </w:pPr>
      <w:r>
        <w:rPr>
          <w:i/>
          <w:iCs/>
          <w:sz w:val="22"/>
          <w:szCs w:val="22"/>
        </w:rPr>
        <w:t>Department of Software Engineering, Faculty of Computing</w:t>
      </w:r>
      <w:bookmarkStart w:id="0" w:name="_GoBack"/>
      <w:bookmarkEnd w:id="0"/>
    </w:p>
    <w:p>
      <w:pPr>
        <w:pStyle w:val="Normal"/>
        <w:spacing w:before="0" w:after="120"/>
        <w:jc w:val="center"/>
        <w:rPr/>
      </w:pPr>
      <w:r>
        <w:rPr>
          <w:i/>
          <w:iCs/>
          <w:sz w:val="22"/>
          <w:szCs w:val="22"/>
        </w:rPr>
        <w:t>Adekunle Ajasin University, Akungba-Akoko, Ondo State, Nigeria</w:t>
      </w:r>
    </w:p>
    <w:p>
      <w:pPr>
        <w:pStyle w:val="Normal"/>
        <w:spacing w:before="0" w:after="160"/>
        <w:rPr/>
      </w:pPr>
      <w:r>
        <w:rPr>
          <w:sz w:val="22"/>
          <w:szCs w:val="22"/>
        </w:rPr>
        <w:t>Correspondence: opeogbe22@gmail.com</w:t>
      </w:r>
    </w:p>
    <w:p>
      <w:pPr>
        <w:pStyle w:val="Normal"/>
        <w:spacing w:lineRule="auto" w:line="276" w:before="0" w:after="160"/>
        <w:jc w:val="both"/>
        <w:rPr/>
      </w:pPr>
      <w:r>
        <w:rPr/>
        <w:t>Acknowledgements and Declarations: Funding: Not applicable. The authors declare no conflicts of interest or competing interests. The source code, schemas, and reference corpus that support this work are openly available at https://github.com/scienceshephard/ydnl.git. The authors thank the Department of Music and Creative Arts, Federal University of Technology, Akure, and the Faculty of Computing, Adekunle Ajasin University, Akungba-Akoko, for their support of the ongoing corpus programme.</w:t>
      </w:r>
    </w:p>
    <w:p>
      <w:pPr>
        <w:pStyle w:val="Normal"/>
        <w:spacing w:before="260" w:after="140"/>
        <w:rPr/>
      </w:pPr>
      <w:r>
        <w:rPr>
          <w:b/>
          <w:bCs/>
          <w:sz w:val="26"/>
          <w:szCs w:val="26"/>
        </w:rPr>
        <w:t>Abstract</w:t>
      </w:r>
    </w:p>
    <w:p>
      <w:pPr>
        <w:pStyle w:val="Normal"/>
        <w:spacing w:lineRule="auto" w:line="276" w:before="0" w:after="160"/>
        <w:jc w:val="both"/>
        <w:rPr/>
      </w:pPr>
      <w:r>
        <w:rPr/>
        <w:t>Yorùbá drum traditions carry language, ritual and genealogical memory, but no existing software standard can hold this music in machine-readable form. The three formats that dominate symbolic music encoding, MusicXML, the Music Encoding Initiative (MEI) format and Humdrum, were all built around Western staff notation. None of them can carry metric cycles that run independently of one another, pitch that glides continuously as a surrogate for speech, stroke timbre used as semantic content, or the relational structure of a drum ensemble. This paper presents the YorubaDrum Notation Language (YDNL): an open data schema, a file format and a working web prototype for Yorùbá Dùndún and Bàtá drum music, developed through Design Science Research. In YDNL a pattern is a set of concurrent rhythmic layers, each running its own cycle. Pitch is a register that may carry a glide, stroke timbre is drawn from a controlled vocabulary, ensemble roles are modelled as relations, and cultural metadata is mandatory. We evaluated the framework over a twelve-pattern synthetic reference corpus, using metrics we had fixed before development began. Against a seven-feature structural taxonomy, YDNL reached a mean Encoding Completeness Score of 1.00. A MusicXML benchmark encoding of the same patterns, written to be as fair to MusicXML as the format allows, retained a mean of 0.33 and lost on average 4.2 of the 7 features per pattern. The Benchmark Parity Ratio averaged 2.08: for every structural feature the two formats share, YDNL preserves roughly two that MusicXML cannot. Faceted retrieval precision was 1.00. Our central finding is that this gap is architectural, not incidental. Closing it requires a schema designed outward from the music itself. Fieldwork towards a corpus of canonical patterns, and validation with master drummers, are both in progress.</w:t>
      </w:r>
    </w:p>
    <w:p>
      <w:pPr>
        <w:pStyle w:val="Normal"/>
        <w:spacing w:lineRule="auto" w:line="276" w:before="0" w:after="160"/>
        <w:jc w:val="both"/>
        <w:rPr/>
      </w:pPr>
      <w:r>
        <w:rPr>
          <w:b/>
          <w:bCs/>
        </w:rPr>
        <w:t xml:space="preserve">Keywords: </w:t>
      </w:r>
      <w:r>
        <w:rPr/>
        <w:t>Yorùbá drum music, polyrhythmic encoding, digital cultural heritage, music notation language, Design Science Research, MusicXML</w:t>
      </w:r>
    </w:p>
    <w:p>
      <w:pPr>
        <w:pStyle w:val="Normal"/>
        <w:spacing w:before="260" w:after="140"/>
        <w:rPr/>
      </w:pPr>
      <w:r>
        <w:rPr>
          <w:b/>
          <w:bCs/>
          <w:sz w:val="26"/>
          <w:szCs w:val="26"/>
        </w:rPr>
        <w:t>1. Introduction</w:t>
      </w:r>
    </w:p>
    <w:p>
      <w:pPr>
        <w:pStyle w:val="Normal"/>
        <w:spacing w:lineRule="auto" w:line="276" w:before="0" w:after="160"/>
        <w:jc w:val="both"/>
        <w:rPr/>
      </w:pPr>
      <w:r>
        <w:rPr/>
        <w:t>The Dùndún talking drum is one of the most sophisticated communication technologies of the Yorùbá people of south-west Nigeria. The player squeezes the leather cords running along its hourglass body, and in doing so reproduces the three tone levels of the Yorùbá language together with the glides between them. The fidelity is high. Acoustic analysis confirms a strong correspondence between drummed and spoken Yorùbá (Durojaye, Knowles, Patten, Garcia, &amp; McBeath, 2021). The Bàtá ensemble, led by the ìyá ìlù, has served as the ritual instrument of Sango worship for centuries (Metropolitan Museum of Art, 2024). Bàtá drummers map open, muted and slap strokes onto low, mid and high speech tones, so that the timbre of a stroke carries linguistic meaning on its own (González &amp; Oludare, 2022; Villepastour, 2010). In both traditions the rhythms hold genealogies, proverbs and theology that cannot be separated from the patterns carrying them (Euba, 1990).</w:t>
      </w:r>
    </w:p>
    <w:p>
      <w:pPr>
        <w:pStyle w:val="Normal"/>
        <w:spacing w:lineRule="auto" w:line="276" w:before="0" w:after="160"/>
        <w:jc w:val="both"/>
        <w:rPr/>
      </w:pPr>
      <w:r>
        <w:rPr/>
        <w:t>Almost all of this knowledge lives in human memory. It passes down through the Àyàn lineage in no written or machine-readable form at all, and as the number of trained specialists falls, the risk of losing it becomes measurable (British Museum Endangered Material Knowledge Programme, 2025; Gwerevende &amp; Mthombeni, 2023; UNESCO, 2003). The scholarly record on this music is deep (Agawu, 2016; Arom, 1991; Euba, 1990; Villepastour, 2010). What does not exist is the software infrastructure to store these patterns, validate them, exchange them and compute on them. The problem is representation. MusicXML was designed for common Western notation, and its own documentation says that other notational traditions would be better served by a dedicated language (Good, 2001; W3C Music Notation Community Group, 2021). MEI is extensible, but the profiles it has established assume the European stave (Music Encoding Initiative, 2023). The Humdrum kern format encodes the core information of common-practice Western music (Huron, 1994). Not one of the three can represent metric cycles layered independently, gliding pitch used as a linguistic surrogate, timbre as meaning, or the interdependence of an ensemble.</w:t>
      </w:r>
    </w:p>
    <w:p>
      <w:pPr>
        <w:pStyle w:val="Normal"/>
        <w:spacing w:lineRule="auto" w:line="276" w:before="0" w:after="160"/>
        <w:jc w:val="both"/>
        <w:rPr/>
      </w:pPr>
      <w:r>
        <w:rPr/>
        <w:t>This paper sets out to close that gap. We had four objectives: to analyse the encoding gap precisely, to design a data model, schema and file format that closes it, to build a working web prototype on that schema, and to evaluate what we built against metrics fixed before development started. We follow Design Science Research (Hevner, March, Park, &amp; Ram, 2004), and we organised the work around a Drum Pattern Corpus so that the music would shape the schema and not the reverse. The study contributes five citable artefacts. The first is an open Drum Pattern Corpus programme, with a twelve-pattern reference corpus published alongside this paper. The second is a Structural Incompatibility Report. The third is the YDNL specification itself: the data model, the XML Schema and the JSON Schema. The fourth is an open-source web prototype that encodes, validates, renders, plays, retrieves and computationally transcribes patterns. The fifth is an evaluation framework of five metrics whose thresholds we fixed in advance; three of the five are measured and reported here. As far as we are aware, YDNL is the first open machine-readable encoding framework built specifically for Yorùbá drum music.</w:t>
      </w:r>
    </w:p>
    <w:p>
      <w:pPr>
        <w:pStyle w:val="Normal"/>
        <w:spacing w:lineRule="auto" w:line="276" w:before="0" w:after="160"/>
        <w:jc w:val="both"/>
        <w:rPr/>
      </w:pPr>
      <w:r>
        <w:rPr/>
        <w:t>The rest of the paper is organised as follows. Section 2 reviews related work and states the research gap. Section 3 sets out the methodology, the corpus programme and the evaluation framework. Section 4 presents the YDNL schema, the prototype and the measured results. Section 5 discusses what the results mean. Section 6 concludes, and states our limitations and the work still to come.</w:t>
      </w:r>
    </w:p>
    <w:p>
      <w:pPr>
        <w:pStyle w:val="Normal"/>
        <w:spacing w:before="260" w:after="140"/>
        <w:rPr/>
      </w:pPr>
      <w:r>
        <w:rPr>
          <w:b/>
          <w:bCs/>
          <w:sz w:val="26"/>
          <w:szCs w:val="26"/>
        </w:rPr>
        <w:t>2. Literature Review</w:t>
      </w:r>
    </w:p>
    <w:p>
      <w:pPr>
        <w:pStyle w:val="Normal"/>
        <w:spacing w:before="180" w:after="100"/>
        <w:rPr/>
      </w:pPr>
      <w:r>
        <w:rPr>
          <w:b/>
          <w:bCs/>
        </w:rPr>
        <w:t>2.1 Symbolic Music Encoding Standards</w:t>
      </w:r>
    </w:p>
    <w:p>
      <w:pPr>
        <w:pStyle w:val="Normal"/>
        <w:spacing w:lineRule="auto" w:line="276" w:before="0" w:after="160"/>
        <w:jc w:val="both"/>
        <w:rPr/>
      </w:pPr>
      <w:r>
        <w:rPr/>
        <w:t>Three symbolic formats dominate digital music, and all three assume Western notation. MusicXML is the main interchange format for scores. It was designed for common Western music notation from the seventeenth century onwards, and its designers say plainly that other notational traditions would be better served by dedicated languages (Good, 2001). The current MusicXML 4.0 specification keeps that same scope (W3C Music Notation Community Group, 2021). MEI can be extended through profiling, but the profiles it has established describe stages in the history of European notation, such as mensural and neume notation (Music Encoding Initiative, 2023). The Humdrum kern representation captures the core information of common-practice Western music (Huron, 1994). Each of the three is therefore tied to a single notational world view. Three assumptions do the tying: one metric hierarchy, discrete chromatic pitch, and timbre treated as an expressive annotation instead of a semantic unit. These are exactly the assumptions that Yorùbá drum music breaks.</w:t>
      </w:r>
    </w:p>
    <w:p>
      <w:pPr>
        <w:pStyle w:val="Normal"/>
        <w:spacing w:before="180" w:after="100"/>
        <w:rPr/>
      </w:pPr>
      <w:r>
        <w:rPr>
          <w:b/>
          <w:bCs/>
        </w:rPr>
        <w:t>2.2 African Rhythm and Yorùbá Drum Scholarship</w:t>
      </w:r>
    </w:p>
    <w:p>
      <w:pPr>
        <w:pStyle w:val="Normal"/>
        <w:spacing w:lineRule="auto" w:line="276" w:before="0" w:after="160"/>
        <w:jc w:val="both"/>
        <w:rPr/>
      </w:pPr>
      <w:r>
        <w:rPr/>
        <w:t>The musicological record on the Yorùbá drum traditions is rich. Euba (1990) documented the Dùndún tradition comprehensively, and Villepastour (2010) decoded the stroke vocabulary of the Bàtá ensemble as a systematic code. There is also solid empirical work on the acoustic and phonological basis of both drums as speech surrogates. Durojaye, Knowles, et al. (2021) measured the correspondence between drummed and spoken Yorùbá. Durojaye, Fink, Roeske, Wald-Fuhrmann, and Larrouy-Maestri (2021) showed that listeners hear dùndún performance along a continuum from speech-like to music-like. González and Oludare (2022) analysed the interface between the organology of the two drum families and Yorùbá phonology. Similar grammatical analysis has been carried out on comparable African speech surrogates, notably the Sambla balafon (McPherson, 2018). On the rhythmic side, Arom (1991) gave the canonical cyclic analysis of African polyrhythm, and Agawu (2016) argued that African rhythmic practice is a coherent theoretical system in its own right, not a deviation from Western metre. Frishkopf (2021) tested staff notation, tabular notation and a recursive grammar against the Ewe Agbekor tradition, found all three inadequate, and called for notation innovation. All of this work documents the knowledge well. None of it offers a machine-readable schema or an open file format.</w:t>
      </w:r>
    </w:p>
    <w:p>
      <w:pPr>
        <w:pStyle w:val="Normal"/>
        <w:spacing w:before="180" w:after="100"/>
        <w:rPr/>
      </w:pPr>
      <w:r>
        <w:rPr>
          <w:b/>
          <w:bCs/>
        </w:rPr>
        <w:t>2.3 Computational Ethnomusicology and Digital Heritage</w:t>
      </w:r>
    </w:p>
    <w:p>
      <w:pPr>
        <w:pStyle w:val="Normal"/>
        <w:spacing w:lineRule="auto" w:line="276" w:before="0" w:after="160"/>
        <w:jc w:val="both"/>
        <w:rPr/>
      </w:pPr>
      <w:r>
        <w:rPr/>
        <w:t>Music information retrieval grew up around Western music. Researchers have pointed out for a long time that other traditions need culture-specific representations (Tzanetakis, Kapur, Schloss, &amp; Wright, 2007). Surveys of world-music corpus research bear this out: the persistent bottleneck is the availability of suitable symbolic representations, not the availability of algorithms (Panteli, Benetos, &amp; Dixon, 2018). Automatic transcription tools do exist, but user studies with ethnomusicologists show that scholars do not trust fully automatic output for their own work and need a human in the loop (Holzapfel &amp; Benetos, 2019). In the heritage domain, recent reviews of intangible cultural heritage digitisation point to the same open problem: representing embodied knowledge in a structured, machine-actionable way, and not simply archiving audio and video (Hou, Kenderdine, Picca, Egloff, &amp; Adamou, 2022). Taken together, these findings set the order of work we followed. An explicit representation that can be validated has to come before any computational or machine-learning application.</w:t>
      </w:r>
    </w:p>
    <w:p>
      <w:pPr>
        <w:pStyle w:val="Normal"/>
        <w:spacing w:before="180" w:after="100"/>
        <w:rPr/>
      </w:pPr>
      <w:r>
        <w:rPr>
          <w:b/>
          <w:bCs/>
        </w:rPr>
        <w:t>2.4 The Research Gap</w:t>
      </w:r>
    </w:p>
    <w:p>
      <w:pPr>
        <w:pStyle w:val="Normal"/>
        <w:spacing w:lineRule="auto" w:line="276" w:before="0" w:after="160"/>
        <w:jc w:val="both"/>
        <w:rPr/>
      </w:pPr>
      <w:r>
        <w:rPr/>
        <w:t>Existing systems therefore fall into two groups. On one side are rigorous standards that cannot represent this music. On the other is rich documentation that is not machine-readable. The closest system we found is AfriScore, a culturally informed web-based learning platform for scoring the nuances of African music, but it publishes no formal schema or open standard (Authority, 2025). Table 1 maps the requirements of Yorùbá drum music against the options available. No existing standard meets more than two of the seven requirements, and the two it does meet concern the openness of the file format, not the music. YDNL aims at the intersection nobody occupies: a formally defined, open and machine-readable framework, grounded in Yorùbá musicology and built to be validated by Nigerian practitioners.</w:t>
      </w:r>
    </w:p>
    <w:p>
      <w:pPr>
        <w:pStyle w:val="Normal"/>
        <w:spacing w:before="160" w:after="20"/>
        <w:rPr/>
      </w:pPr>
      <w:r>
        <w:rPr>
          <w:b/>
          <w:bCs/>
        </w:rPr>
        <w:t>Table 1</w:t>
      </w:r>
    </w:p>
    <w:p>
      <w:pPr>
        <w:pStyle w:val="Normal"/>
        <w:spacing w:before="0" w:after="80"/>
        <w:rPr/>
      </w:pPr>
      <w:r>
        <w:rPr>
          <w:i/>
          <w:iCs/>
        </w:rPr>
        <w:t>Capability Comparison of Existing Encoding Standards Against YDNL</w:t>
      </w:r>
    </w:p>
    <w:tbl>
      <w:tblPr>
        <w:tblW w:w="9020" w:type="dxa"/>
        <w:jc w:val="start"/>
        <w:tblInd w:w="0" w:type="dxa"/>
        <w:tblLayout w:type="fixed"/>
        <w:tblCellMar>
          <w:top w:w="40" w:type="dxa"/>
          <w:start w:w="90" w:type="dxa"/>
          <w:bottom w:w="40" w:type="dxa"/>
          <w:end w:w="90" w:type="dxa"/>
        </w:tblCellMar>
        <w:tblLook w:val="0000" w:noHBand="0" w:noVBand="0" w:firstColumn="0" w:lastRow="0" w:lastColumn="0" w:firstRow="0"/>
      </w:tblPr>
      <w:tblGrid>
        <w:gridCol w:w="3406"/>
        <w:gridCol w:w="1453"/>
        <w:gridCol w:w="1053"/>
        <w:gridCol w:w="1553"/>
        <w:gridCol w:w="1555"/>
      </w:tblGrid>
      <w:tr>
        <w:trPr>
          <w:tblHeader w:val="true"/>
        </w:trPr>
        <w:tc>
          <w:tcPr>
            <w:tcW w:w="3406"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pPr>
            <w:r>
              <w:rPr>
                <w:b/>
                <w:bCs/>
                <w:sz w:val="21"/>
                <w:szCs w:val="21"/>
              </w:rPr>
              <w:t>Encoding requirement</w:t>
            </w:r>
          </w:p>
        </w:tc>
        <w:tc>
          <w:tcPr>
            <w:tcW w:w="1453"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MusicXML</w:t>
            </w:r>
          </w:p>
        </w:tc>
        <w:tc>
          <w:tcPr>
            <w:tcW w:w="1053"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MEI</w:t>
            </w:r>
          </w:p>
        </w:tc>
        <w:tc>
          <w:tcPr>
            <w:tcW w:w="1553"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AfriScore</w:t>
            </w:r>
          </w:p>
        </w:tc>
        <w:tc>
          <w:tcPr>
            <w:tcW w:w="1555"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YDNL</w:t>
            </w:r>
          </w:p>
        </w:tc>
      </w:tr>
      <w:tr>
        <w:trPr/>
        <w:tc>
          <w:tcPr>
            <w:tcW w:w="3406"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Polyrhythm and independent metric layering</w:t>
            </w:r>
          </w:p>
        </w:tc>
        <w:tc>
          <w:tcPr>
            <w:tcW w:w="14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Partial</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r>
      <w:tr>
        <w:trPr/>
        <w:tc>
          <w:tcPr>
            <w:tcW w:w="3406"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Continuously variable pitch / speech surrogacy</w:t>
            </w:r>
          </w:p>
        </w:tc>
        <w:tc>
          <w:tcPr>
            <w:tcW w:w="14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r>
      <w:tr>
        <w:trPr/>
        <w:tc>
          <w:tcPr>
            <w:tcW w:w="3406"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Stroke timbre as semantic content</w:t>
            </w:r>
          </w:p>
        </w:tc>
        <w:tc>
          <w:tcPr>
            <w:tcW w:w="14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r>
      <w:tr>
        <w:trPr/>
        <w:tc>
          <w:tcPr>
            <w:tcW w:w="3406"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Ensemble relational interdependence model</w:t>
            </w:r>
          </w:p>
        </w:tc>
        <w:tc>
          <w:tcPr>
            <w:tcW w:w="14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r>
      <w:tr>
        <w:trPr/>
        <w:tc>
          <w:tcPr>
            <w:tcW w:w="3406"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Ritual and cultural metadata as first-class data</w:t>
            </w:r>
          </w:p>
        </w:tc>
        <w:tc>
          <w:tcPr>
            <w:tcW w:w="14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r>
      <w:tr>
        <w:trPr/>
        <w:tc>
          <w:tcPr>
            <w:tcW w:w="3406"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Open machine-readable file format</w:t>
            </w:r>
          </w:p>
        </w:tc>
        <w:tc>
          <w:tcPr>
            <w:tcW w:w="14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r>
      <w:tr>
        <w:trPr/>
        <w:tc>
          <w:tcPr>
            <w:tcW w:w="3406"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Designed for African musical traditions</w:t>
            </w:r>
          </w:p>
        </w:tc>
        <w:tc>
          <w:tcPr>
            <w:tcW w:w="14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0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No</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Partial</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Yes</w:t>
            </w:r>
          </w:p>
        </w:tc>
      </w:tr>
    </w:tbl>
    <w:p>
      <w:pPr>
        <w:pStyle w:val="Normal"/>
        <w:spacing w:before="0" w:after="120"/>
        <w:rPr/>
      </w:pPr>
      <w:r>
        <w:rPr/>
      </w:r>
    </w:p>
    <w:p>
      <w:pPr>
        <w:pStyle w:val="Normal"/>
        <w:spacing w:before="260" w:after="140"/>
        <w:rPr/>
      </w:pPr>
      <w:r>
        <w:rPr>
          <w:b/>
          <w:bCs/>
          <w:sz w:val="26"/>
          <w:szCs w:val="26"/>
        </w:rPr>
        <w:t>3. Methodology</w:t>
      </w:r>
    </w:p>
    <w:p>
      <w:pPr>
        <w:pStyle w:val="Normal"/>
        <w:spacing w:before="180" w:after="100"/>
        <w:rPr/>
      </w:pPr>
      <w:r>
        <w:rPr>
          <w:b/>
          <w:bCs/>
        </w:rPr>
        <w:t>3.1 Design Science Research Framing</w:t>
      </w:r>
    </w:p>
    <w:p>
      <w:pPr>
        <w:pStyle w:val="Normal"/>
        <w:spacing w:lineRule="auto" w:line="276" w:before="0" w:after="160"/>
        <w:jc w:val="both"/>
        <w:rPr/>
      </w:pPr>
      <w:r>
        <w:rPr/>
        <w:t>We built the framework using Design Science Research (DSR), the paradigm for research whose main output is an artefact (Hevner et al., 2004). Figure 1 places our work inside the three DSR cycles. The Relevance cycle ties it to the living practice of master drummers and to the cultural context of each pattern. The Rigor cycle grounds it in ethnomusicology, in encoding standards and in software engineering. The Design cycle is where we build the artefacts and evaluate them; between them they cover all four DSR artefact types, that is construct, model, method and instantiation.</w:t>
      </w:r>
    </w:p>
    <w:p>
      <w:pPr>
        <w:pStyle w:val="Normal"/>
        <w:spacing w:before="80" w:after="160"/>
        <w:rPr>
          <w:i/>
          <w:iCs/>
          <w:sz w:val="22"/>
          <w:szCs w:val="22"/>
        </w:rPr>
      </w:pPr>
      <w:r>
        <w:rPr/>
        <w:drawing>
          <wp:inline distT="0" distB="0" distL="0" distR="0">
            <wp:extent cx="573151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3257550"/>
                    </a:xfrm>
                    <a:prstGeom prst="rect">
                      <a:avLst/>
                    </a:prstGeom>
                    <a:noFill/>
                  </pic:spPr>
                </pic:pic>
              </a:graphicData>
            </a:graphic>
          </wp:inline>
        </w:drawing>
      </w:r>
    </w:p>
    <w:p>
      <w:pPr>
        <w:pStyle w:val="Normal"/>
        <w:spacing w:before="80" w:after="160"/>
        <w:rPr/>
      </w:pPr>
      <w:r>
        <w:rPr>
          <w:i/>
          <w:iCs/>
          <w:sz w:val="22"/>
          <w:szCs w:val="22"/>
        </w:rPr>
        <w:t>Figure 1. The Work Positioned Within the Three Design Science Research Cycles, With the Drum Pattern Corpus as the Shared Artefact of Record</w:t>
      </w:r>
    </w:p>
    <w:p>
      <w:pPr>
        <w:pStyle w:val="Normal"/>
        <w:spacing w:before="180" w:after="100"/>
        <w:rPr/>
      </w:pPr>
      <w:r>
        <w:rPr>
          <w:b/>
          <w:bCs/>
        </w:rPr>
        <w:t>3.2 The Drum Pattern Corpus and Data Integrity</w:t>
      </w:r>
    </w:p>
    <w:p>
      <w:pPr>
        <w:pStyle w:val="Normal"/>
        <w:spacing w:lineRule="auto" w:line="276" w:before="0" w:after="160"/>
        <w:jc w:val="both"/>
        <w:rPr/>
      </w:pPr>
      <w:r>
        <w:rPr/>
        <w:t>A Drum Pattern Corpus forms the backbone of the programme. The target collection is twenty-four canonical patterns, twelve Dùndún and twelve Bàtá. We are selecting them together with the Department of Music and Creative Arts at the Federal University of Technology, Akure, and with master drummers in Ondo and Oyo States. Between them the twenty-four are meant to cover at least six Orisha associations, the principal metric ratios 3:4, 3:8 and 4:12, the documented stroke timbres, and ensembles of two to five drums. Before we encode a fieldwork pattern we capture it in three independent forms: an audio field recording, a notation sketch from a faculty member, and a structured textual description. Every encoding therefore has a ground truth that does not depend on our schema.</w:t>
      </w:r>
    </w:p>
    <w:p>
      <w:pPr>
        <w:pStyle w:val="Normal"/>
        <w:spacing w:lineRule="auto" w:line="276" w:before="0" w:after="160"/>
        <w:jc w:val="both"/>
        <w:rPr/>
      </w:pPr>
      <w:r>
        <w:rPr/>
        <w:t>The fieldwork collection is still in progress. For this paper, then, we exercise the schema and prototype over a published reference corpus of twelve synthetic patterns, six Dùndún and six Bàtá, which we constructed to touch every feature of the schema. We enforce data integrity structurally. Every synthetic pattern carries an empty recording reference, an empty drummer attribution and the validation status draft, so that the provenance state of each record is visible in the data itself. A provenance field is only populated, and the validation status only advances, once a real recording, a real attribution or a real review event exists. The distinction between illustrative data and field-validated data is therefore machine-checkable, and does not rest on documentation alone.</w:t>
      </w:r>
    </w:p>
    <w:p>
      <w:pPr>
        <w:pStyle w:val="Normal"/>
        <w:spacing w:before="180" w:after="100"/>
        <w:rPr/>
      </w:pPr>
      <w:r>
        <w:rPr>
          <w:b/>
          <w:bCs/>
        </w:rPr>
        <w:t>3.3 Research Phases</w:t>
      </w:r>
    </w:p>
    <w:p>
      <w:pPr>
        <w:pStyle w:val="Normal"/>
        <w:spacing w:lineRule="auto" w:line="276" w:before="0" w:after="160"/>
        <w:jc w:val="both"/>
        <w:rPr/>
      </w:pPr>
      <w:r>
        <w:rPr/>
        <w:t>The work proceeds in five phases. Phase 0 builds the corpus and publishes it openly, so that it can serve as the shared artefact of record. Phase 1 carries out the domain analysis and produces a Structural Incompatibility Report, documenting pattern by pattern which features MusicXML and MEI cannot encode, and why. Phase 2 designs the data model, the XML and JSON schemas and the controlled cultural vocabulary. Phase 2 also fixes every evaluation metric and threshold in advance, because a metric defined after the results are in is a rationalisation and not a measure. Phase 3 builds the web prototype. Phase 4 computes the metrics and runs validation sessions with master drummers, music educators and an external ethnomusicologist. We use no machine learning in any phase, and this is deliberate. What we contribute is an explicit, inspectable representation that practitioners can check for themselves, and the corpus is a precondition for later learning-based work, not a product of it. Phases 0 to 3 are complete, as is the structural evaluation in Phase 4 for the reference corpus. The fieldwork collection and the practitioner sessions are still under way.</w:t>
      </w:r>
    </w:p>
    <w:p>
      <w:pPr>
        <w:pStyle w:val="Normal"/>
        <w:spacing w:before="180" w:after="100"/>
        <w:rPr/>
      </w:pPr>
      <w:r>
        <w:rPr>
          <w:b/>
          <w:bCs/>
        </w:rPr>
        <w:t>3.4 Evaluation Framework</w:t>
      </w:r>
    </w:p>
    <w:p>
      <w:pPr>
        <w:pStyle w:val="Normal"/>
        <w:spacing w:lineRule="auto" w:line="276" w:before="0" w:after="160"/>
        <w:jc w:val="both"/>
        <w:rPr/>
      </w:pPr>
      <w:r>
        <w:rPr/>
        <w:t>We fixed five metrics before building the prototype (Table 2). Our primary structural measure is the Encoding Completeness Score (ECS), ECS = |Fenc| / |Fpresent| (1). This is the fraction of the structural features present in a pattern that a given encoding is able to carry, computed against the seven-feature taxonomy that came out of the domain analysis (Section 4.1). For the fieldwork corpus, two coders score feature presence, one from software engineering and one from ethnomusicology, and we only proceed once inter-coder reliability reaches a Cohen kappa of 0.80. For the reference corpus, feature presence is detected deterministically from the encoded data. Our second measure is the Benchmark Parity Ratio (BPR), BPR = |FYDNL-unique| / |Fshared| (2). It divides the number of a pattern's structural features that only YDNL can carry by the number YDNL shares with the benchmark standard. A value above 2.0 therefore means that for every structural feature the Western encoding keeps, YDNL preserves more than two further features that the Western encoding loses. Where a pattern shares no features at all with the benchmark, we clamp the denominator to one. That convention understates the disparity, and we prefer it for exactly that reason. The remaining three metrics deliberately put the authority outside the software: the Practitioner Accuracy Rating with master drummers, the System Usability Scale with music educators, and Retrieval Precision over faceted queries on the corpus.</w:t>
      </w:r>
    </w:p>
    <w:p>
      <w:pPr>
        <w:pStyle w:val="Normal"/>
        <w:spacing w:before="160" w:after="20"/>
        <w:rPr/>
      </w:pPr>
      <w:r>
        <w:rPr>
          <w:b/>
          <w:bCs/>
        </w:rPr>
        <w:t>Table 2</w:t>
      </w:r>
    </w:p>
    <w:p>
      <w:pPr>
        <w:pStyle w:val="Normal"/>
        <w:spacing w:before="0" w:after="80"/>
        <w:rPr/>
      </w:pPr>
      <w:r>
        <w:rPr>
          <w:i/>
          <w:iCs/>
        </w:rPr>
        <w:t>YDNL Evaluation Metrics, Fixed in Advance of Prototype Development</w:t>
      </w:r>
    </w:p>
    <w:tbl>
      <w:tblPr>
        <w:tblW w:w="9020" w:type="dxa"/>
        <w:jc w:val="start"/>
        <w:tblInd w:w="0" w:type="dxa"/>
        <w:tblLayout w:type="fixed"/>
        <w:tblCellMar>
          <w:top w:w="40" w:type="dxa"/>
          <w:start w:w="90" w:type="dxa"/>
          <w:bottom w:w="40" w:type="dxa"/>
          <w:end w:w="90" w:type="dxa"/>
        </w:tblCellMar>
        <w:tblLook w:val="0000" w:noHBand="0" w:noVBand="0" w:firstColumn="0" w:lastRow="0" w:lastColumn="0" w:firstRow="0"/>
      </w:tblPr>
      <w:tblGrid>
        <w:gridCol w:w="2050"/>
        <w:gridCol w:w="4520"/>
        <w:gridCol w:w="1150"/>
        <w:gridCol w:w="1300"/>
      </w:tblGrid>
      <w:tr>
        <w:trPr>
          <w:tblHeader w:val="true"/>
        </w:trPr>
        <w:tc>
          <w:tcPr>
            <w:tcW w:w="205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pPr>
            <w:r>
              <w:rPr>
                <w:b/>
                <w:bCs/>
                <w:sz w:val="21"/>
                <w:szCs w:val="21"/>
              </w:rPr>
              <w:t>Metric</w:t>
            </w:r>
          </w:p>
        </w:tc>
        <w:tc>
          <w:tcPr>
            <w:tcW w:w="452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pPr>
            <w:r>
              <w:rPr>
                <w:b/>
                <w:bCs/>
                <w:sz w:val="21"/>
                <w:szCs w:val="21"/>
              </w:rPr>
              <w:t>Definition</w:t>
            </w:r>
          </w:p>
        </w:tc>
        <w:tc>
          <w:tcPr>
            <w:tcW w:w="115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Target</w:t>
            </w:r>
          </w:p>
        </w:tc>
        <w:tc>
          <w:tcPr>
            <w:tcW w:w="130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Status</w:t>
            </w:r>
          </w:p>
        </w:tc>
      </w:tr>
      <w:tr>
        <w:trPr/>
        <w:tc>
          <w:tcPr>
            <w:tcW w:w="20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Encoding Completeness Score (ECS)</w:t>
            </w:r>
          </w:p>
        </w:tc>
        <w:tc>
          <w:tcPr>
            <w:tcW w:w="452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Features carried by an encoding over features present; dual-coded (Cohen kappa ≥ 0.80) for fieldwork patterns.</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ECS ≥ 0.85</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Measured (Sec. 4.5)</w:t>
            </w:r>
          </w:p>
        </w:tc>
      </w:tr>
      <w:tr>
        <w:trPr/>
        <w:tc>
          <w:tcPr>
            <w:tcW w:w="20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Benchmark Parity Ratio (BPR)</w:t>
            </w:r>
          </w:p>
        </w:tc>
        <w:tc>
          <w:tcPr>
            <w:tcW w:w="452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YDNL-unique features captured over features shared with the benchmark standard.</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BPR &gt; 2.0</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Measured (Sec. 4.5)</w:t>
            </w:r>
          </w:p>
        </w:tc>
      </w:tr>
      <w:tr>
        <w:trPr/>
        <w:tc>
          <w:tcPr>
            <w:tcW w:w="20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Practitioner Accuracy Rating (PAR)</w:t>
            </w:r>
          </w:p>
        </w:tc>
        <w:tc>
          <w:tcPr>
            <w:tcW w:w="452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Master drummers rate rhythmic, tonal, timbral, and cultural accuracy (5-point scale).</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Mean ≥ 4.0</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In progress</w:t>
            </w:r>
          </w:p>
        </w:tc>
      </w:tr>
      <w:tr>
        <w:trPr/>
        <w:tc>
          <w:tcPr>
            <w:tcW w:w="20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System Usability Scale (SUS)</w:t>
            </w:r>
          </w:p>
        </w:tc>
        <w:tc>
          <w:tcPr>
            <w:tcW w:w="452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Standard 10-item SUS with music educators.</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SUS ≥ 68</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In progress</w:t>
            </w:r>
          </w:p>
        </w:tc>
      </w:tr>
      <w:tr>
        <w:trPr/>
        <w:tc>
          <w:tcPr>
            <w:tcW w:w="205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Retrieval Precision (RP)</w:t>
            </w:r>
          </w:p>
        </w:tc>
        <w:tc>
          <w:tcPr>
            <w:tcW w:w="4520"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Precision of library retrieval by Orisha, ceremony, instrument, or region.</w:t>
            </w:r>
          </w:p>
        </w:tc>
        <w:tc>
          <w:tcPr>
            <w:tcW w:w="1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RP ≥ 0.90</w:t>
            </w:r>
          </w:p>
        </w:tc>
        <w:tc>
          <w:tcPr>
            <w:tcW w:w="13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Measured (Sec. 4.5)</w:t>
            </w:r>
          </w:p>
        </w:tc>
      </w:tr>
    </w:tbl>
    <w:p>
      <w:pPr>
        <w:pStyle w:val="Normal"/>
        <w:spacing w:before="0" w:after="120"/>
        <w:rPr/>
      </w:pPr>
      <w:r>
        <w:rPr/>
      </w:r>
    </w:p>
    <w:p>
      <w:pPr>
        <w:pStyle w:val="Normal"/>
        <w:spacing w:before="260" w:after="140"/>
        <w:rPr/>
      </w:pPr>
      <w:r>
        <w:rPr>
          <w:b/>
          <w:bCs/>
          <w:sz w:val="26"/>
          <w:szCs w:val="26"/>
        </w:rPr>
        <w:t>4. Results</w:t>
      </w:r>
    </w:p>
    <w:p>
      <w:pPr>
        <w:pStyle w:val="Normal"/>
        <w:spacing w:before="180" w:after="100"/>
        <w:rPr/>
      </w:pPr>
      <w:r>
        <w:rPr>
          <w:b/>
          <w:bCs/>
        </w:rPr>
        <w:t>4.1 The Structural Feature Taxonomy</w:t>
      </w:r>
    </w:p>
    <w:p>
      <w:pPr>
        <w:pStyle w:val="Normal"/>
        <w:spacing w:lineRule="auto" w:line="276" w:before="0" w:after="160"/>
        <w:jc w:val="both"/>
        <w:rPr/>
      </w:pPr>
      <w:r>
        <w:rPr/>
        <w:t>The Phase 1 domain analysis reduced the requirements of Dùndún and Bàtá music to a taxonomy of seven structural features. That taxonomy then became the fixed measurement frame for every metric. The seven are: (a) multiple concurrent rhythmic layers; (b) polymeter, meaning layers whose metric cycle lengths differ; (c) discrete low, mid and high tonal registers; (d) continuous pitch glides used as a speech surrogate; (e) variation in stroke timbre carrying semantic content; (f) a relational ensemble structure of interdependent roles; and (g) ritual and cultural metadata as structural content. MusicXML can carry two of the seven, concurrent layers and discrete registers, though only in degraded form. Our Structural Incompatibility Report documents why the other five have no representation in either MusicXML or MEI.</w:t>
      </w:r>
    </w:p>
    <w:p>
      <w:pPr>
        <w:pStyle w:val="Normal"/>
        <w:spacing w:before="180" w:after="100"/>
        <w:rPr/>
      </w:pPr>
      <w:r>
        <w:rPr>
          <w:b/>
          <w:bCs/>
        </w:rPr>
        <w:t>4.2 Schema Design Principles</w:t>
      </w:r>
    </w:p>
    <w:p>
      <w:pPr>
        <w:pStyle w:val="Normal"/>
        <w:spacing w:lineRule="auto" w:line="276" w:before="0" w:after="160"/>
        <w:jc w:val="both"/>
        <w:rPr/>
      </w:pPr>
      <w:r>
        <w:rPr/>
        <w:t>Five principles shape the YDNL schema, and each of them answers one part of the taxonomy. Metric plurality gives every rhythmic layer its own cycle length, pulse unit and offset against a shared reference pulse. No barline is imposed at pattern level, because we model a pattern as a set of concurrent layers and not as a single metric stream. Tonal continuity models pitch as a register, low, mid or high, with an optional glide that carries a start register, an end register, a direction and a duration. There is no chromatic pitch class anywhere in the model, which keeps faith with the linguistic function of the dùndún (Durojaye, Knowles, et al., 2021). Timbral semantics makes stroke type a mandatory attribute drawn from a controlled vocabulary of six values: open, muted, slap, heel-toe, rim and combined, each mapped to a documented technique (Villepastour, 2010). Ensemble relationality models the drums as named role nodes carrying interdependency rules. Cultural integrity makes the cultural annotation block mandatory, so a file with no ceremonial or provenance metadata fails validation outright. We treat such a file as incomplete data, not as complete data whose metadata happens to be optional.</w:t>
      </w:r>
    </w:p>
    <w:p>
      <w:pPr>
        <w:pStyle w:val="Normal"/>
        <w:spacing w:before="180" w:after="100"/>
        <w:rPr/>
      </w:pPr>
      <w:r>
        <w:rPr>
          <w:b/>
          <w:bCs/>
        </w:rPr>
        <w:t>4.3 Data Model and Serialisation</w:t>
      </w:r>
    </w:p>
    <w:p>
      <w:pPr>
        <w:pStyle w:val="Normal"/>
        <w:spacing w:lineRule="auto" w:line="276" w:before="0" w:after="160"/>
        <w:jc w:val="both"/>
        <w:rPr/>
      </w:pPr>
      <w:r>
        <w:rPr/>
        <w:t>Table 3 lists the core entities of the model. The DrumPattern is the root aggregate and the unit of exchange. It owns one or more RhythmicLayers, and each layer owns an ordered sequence of StrokeEvents, any of which may carry a PitchGlide. The EnsembleConfig is referenced; the CulturalAnnotation is embedded. YDNL serialises primarily to XML, with a parallel JSON schema. We publish the formal XSD and JSON Schema openly, so that validation can run in any standard toolchain.</w:t>
      </w:r>
    </w:p>
    <w:p>
      <w:pPr>
        <w:pStyle w:val="Normal"/>
        <w:spacing w:before="160" w:after="20"/>
        <w:rPr/>
      </w:pPr>
      <w:r>
        <w:rPr>
          <w:b/>
          <w:bCs/>
        </w:rPr>
        <w:t>Table 3</w:t>
      </w:r>
    </w:p>
    <w:p>
      <w:pPr>
        <w:pStyle w:val="Normal"/>
        <w:spacing w:before="0" w:after="80"/>
        <w:rPr/>
      </w:pPr>
      <w:r>
        <w:rPr>
          <w:i/>
          <w:iCs/>
        </w:rPr>
        <w:t>Core Entities of the YDNL Data Model</w:t>
      </w:r>
    </w:p>
    <w:tbl>
      <w:tblPr>
        <w:tblW w:w="9020" w:type="dxa"/>
        <w:jc w:val="start"/>
        <w:tblInd w:w="0" w:type="dxa"/>
        <w:tblLayout w:type="fixed"/>
        <w:tblCellMar>
          <w:top w:w="40" w:type="dxa"/>
          <w:start w:w="90" w:type="dxa"/>
          <w:bottom w:w="40" w:type="dxa"/>
          <w:end w:w="90" w:type="dxa"/>
        </w:tblCellMar>
        <w:tblLook w:val="0000" w:noHBand="0" w:noVBand="0" w:firstColumn="0" w:lastRow="0" w:lastColumn="0" w:firstRow="0"/>
      </w:tblPr>
      <w:tblGrid>
        <w:gridCol w:w="1898"/>
        <w:gridCol w:w="2621"/>
        <w:gridCol w:w="4501"/>
      </w:tblGrid>
      <w:tr>
        <w:trPr>
          <w:tblHeader w:val="true"/>
        </w:trPr>
        <w:tc>
          <w:tcPr>
            <w:tcW w:w="1898"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pPr>
            <w:r>
              <w:rPr>
                <w:b/>
                <w:bCs/>
                <w:sz w:val="21"/>
                <w:szCs w:val="21"/>
              </w:rPr>
              <w:t>Entity</w:t>
            </w:r>
          </w:p>
        </w:tc>
        <w:tc>
          <w:tcPr>
            <w:tcW w:w="2621"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pPr>
            <w:r>
              <w:rPr>
                <w:b/>
                <w:bCs/>
                <w:sz w:val="21"/>
                <w:szCs w:val="21"/>
              </w:rPr>
              <w:t>Role in model</w:t>
            </w:r>
          </w:p>
        </w:tc>
        <w:tc>
          <w:tcPr>
            <w:tcW w:w="4501"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pPr>
            <w:r>
              <w:rPr>
                <w:b/>
                <w:bCs/>
                <w:sz w:val="21"/>
                <w:szCs w:val="21"/>
              </w:rPr>
              <w:t>Core attributes</w:t>
            </w:r>
          </w:p>
        </w:tc>
      </w:tr>
      <w:tr>
        <w:trPr/>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DrumPattern</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Root aggregate, unit of exchange</w:t>
            </w:r>
          </w:p>
        </w:tc>
        <w:tc>
          <w:tcPr>
            <w:tcW w:w="45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pattern_id, title, tempo_bpm, metric_ratio, ensemble_ref, cultural_annotation</w:t>
            </w:r>
          </w:p>
        </w:tc>
      </w:tr>
      <w:tr>
        <w:trPr/>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RhythmicLayer</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Child of DrumPattern</w:t>
            </w:r>
          </w:p>
        </w:tc>
        <w:tc>
          <w:tcPr>
            <w:tcW w:w="45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layer_id, instrument_role, pulse_unit, metric_cycle_length, offset_pulses</w:t>
            </w:r>
          </w:p>
        </w:tc>
      </w:tr>
      <w:tr>
        <w:trPr/>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StrokeEvent</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Child of RhythmicLayer</w:t>
            </w:r>
          </w:p>
        </w:tc>
        <w:tc>
          <w:tcPr>
            <w:tcW w:w="45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event_id, pulse_position, stroke_type, pitch_register, duration_pulses</w:t>
            </w:r>
          </w:p>
        </w:tc>
      </w:tr>
      <w:tr>
        <w:trPr/>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PitchGlide</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Attribute type on StrokeEvent</w:t>
            </w:r>
          </w:p>
        </w:tc>
        <w:tc>
          <w:tcPr>
            <w:tcW w:w="45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start_register, end_register, glide_direction, duration_pulses</w:t>
            </w:r>
          </w:p>
        </w:tc>
      </w:tr>
      <w:tr>
        <w:trPr/>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EnsembleConfig</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Referenced entity</w:t>
            </w:r>
          </w:p>
        </w:tc>
        <w:tc>
          <w:tcPr>
            <w:tcW w:w="45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ensemble_id, instrument_nodes, interdependency_rules</w:t>
            </w:r>
          </w:p>
        </w:tc>
      </w:tr>
      <w:tr>
        <w:trPr/>
        <w:tc>
          <w:tcPr>
            <w:tcW w:w="189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CulturalAnnotation</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Embedded in DrumPattern</w:t>
            </w:r>
          </w:p>
        </w:tc>
        <w:tc>
          <w:tcPr>
            <w:tcW w:w="4501"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orisha_id, ceremony_type, regional_variant, source_drummer_id, validation_status</w:t>
            </w:r>
          </w:p>
        </w:tc>
      </w:tr>
    </w:tbl>
    <w:p>
      <w:pPr>
        <w:pStyle w:val="Normal"/>
        <w:spacing w:before="0" w:after="120"/>
        <w:rPr/>
      </w:pPr>
      <w:r>
        <w:rPr/>
      </w:r>
    </w:p>
    <w:p>
      <w:pPr>
        <w:pStyle w:val="Normal"/>
        <w:spacing w:lineRule="auto" w:line="276" w:before="0" w:after="160"/>
        <w:jc w:val="both"/>
        <w:rPr/>
      </w:pPr>
      <w:r>
        <w:rPr/>
        <w:t>The validator also enforces organological constraints taken from the domain analysis. Only the hourglass tension drums of the Dùndún family, the ìyá ìlù dùndún, the gangan and the kerikeri, can bend pitch, and they can do so because the player squeezes the lacing cords. Bàtá drums are fixed-pitch, tuned with ida wax paste, and they render speech through stroke timbre instead. The gudugudu is a fixed-pitch kettle drum (González &amp; Oludare, 2022). Our validator therefore rejects a pitch glide on any fixed-pitch role as an error. The schema cannot quietly record a performance that the instrument is physically incapable of producing.</w:t>
      </w:r>
    </w:p>
    <w:p>
      <w:pPr>
        <w:pStyle w:val="Normal"/>
        <w:spacing w:lineRule="auto" w:line="276" w:before="0" w:after="160"/>
        <w:jc w:val="both"/>
        <w:rPr/>
      </w:pPr>
      <w:r>
        <w:rPr/>
        <w:t>Listing 1 encodes part of a Dùndún festival pattern, and it exercises all five principles at once. The cultural annotation sits embedded at the root. The two layers run independent cycles of twelve and eight pulses. The event at pulse nine carries a pitch glide that no existing standard can express. As Section 3.2 requires, the drummer attribution is empty and the validation status is draft, because no drummer has performed or reviewed this synthetic pattern.</w:t>
      </w:r>
    </w:p>
    <w:p>
      <w:pPr>
        <w:pStyle w:val="Normal"/>
        <w:rPr/>
      </w:pPr>
      <w:r>
        <w:rPr>
          <w:rFonts w:eastAsia="Courier New" w:cs="Courier New" w:ascii="Courier New" w:hAnsi="Courier New"/>
          <w:sz w:val="17"/>
          <w:szCs w:val="17"/>
        </w:rPr>
        <w:t>&lt;?xml version="1.0" encoding="UTF-8"?&gt;</w:t>
      </w:r>
    </w:p>
    <w:p>
      <w:pPr>
        <w:pStyle w:val="Normal"/>
        <w:rPr/>
      </w:pPr>
      <w:r>
        <w:rPr>
          <w:rFonts w:eastAsia="Courier New" w:cs="Courier New" w:ascii="Courier New" w:hAnsi="Courier New"/>
          <w:sz w:val="17"/>
          <w:szCs w:val="17"/>
        </w:rPr>
        <w:t>&lt;ydnl version="1.0" xmlns="https://ydnl.org/schema/v1"&gt;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&lt;drumPattern id="DP-0021" title="Dundun festival pattern"&gt;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&lt;culturalAnnotation&gt;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&lt;orisha&gt;Sango&lt;/orisha&gt; &lt;ceremony_type&gt;festival&lt;/ceremony_type&gt;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&lt;region&gt;Oyo&lt;/region&gt; &lt;source_drummer&gt;&lt;/source_drummer&gt;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&lt;validation_status&gt;draft&lt;/validation_status&gt;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&lt;/culturalAnnotation&gt;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&lt;ensembleRef id="ENS-Dundun-2" /&gt;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&lt;rhythmicLayers&gt;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&lt;layer instrument_role="iya-ilu-dundun"</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metric_cycle_length="12" pulse_unit="semiquaver"&gt;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&lt;strokeEvent pulse="1" stroke_type="open" pitch_register="high" /&gt;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&lt;strokeEvent pulse="5" stroke_type="muted" pitch_register="low" /&gt;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&lt;strokeEvent pulse="9" stroke_type="open" pitch_register="glide"&gt;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&lt;pitchGlide start="mid" end="high"</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direction="ascending" duration_pulses="2" /&gt;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&lt;/strokeEvent&gt;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&lt;/layer&gt;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&lt;layer instrument_role="gudugudu"</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metric_cycle_length="8" pulse_unit="semiquaver"&gt;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&lt;strokeEvent pulse="1" stroke_type="open" pitch_register="low" /&gt;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&lt;strokeEvent pulse="4" stroke_type="rim" pitch_register="mid" /&gt;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&lt;/layer&gt;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&lt;/rhythmicLayers&gt;</w:t>
      </w:r>
    </w:p>
    <w:p>
      <w:pPr>
        <w:pStyle w:val="Normal"/>
        <w:rPr/>
      </w:pPr>
      <w:r>
        <w:rPr>
          <w:rFonts w:eastAsia="Courier New" w:cs="Courier New" w:ascii="Courier New" w:hAnsi="Courier New"/>
          <w:sz w:val="17"/>
          <w:szCs w:val="17"/>
        </w:rPr>
        <w:t xml:space="preserve">  </w:t>
      </w:r>
      <w:r>
        <w:rPr>
          <w:rFonts w:eastAsia="Courier New" w:cs="Courier New" w:ascii="Courier New" w:hAnsi="Courier New"/>
          <w:sz w:val="17"/>
          <w:szCs w:val="17"/>
        </w:rPr>
        <w:t>&lt;/drumPattern&gt;</w:t>
      </w:r>
    </w:p>
    <w:p>
      <w:pPr>
        <w:pStyle w:val="Normal"/>
        <w:rPr/>
      </w:pPr>
      <w:r>
        <w:rPr>
          <w:rFonts w:eastAsia="Courier New" w:cs="Courier New" w:ascii="Courier New" w:hAnsi="Courier New"/>
          <w:sz w:val="17"/>
          <w:szCs w:val="17"/>
        </w:rPr>
        <w:t>&lt;/ydnl&gt;</w:t>
      </w:r>
    </w:p>
    <w:p>
      <w:pPr>
        <w:pStyle w:val="Normal"/>
        <w:spacing w:before="80" w:after="160"/>
        <w:rPr/>
      </w:pPr>
      <w:r>
        <w:rPr>
          <w:i/>
          <w:iCs/>
          <w:sz w:val="22"/>
          <w:szCs w:val="22"/>
        </w:rPr>
        <w:t>Listing 1. A Representative YDNL XML Excerpt for a Dùndún Festival Pattern. The two layers run independent 12- and 8-pulse cycles; the glide at pulse 9 is legal only on a tension drum; provenance fields are empty and the status is draft because the pattern is synthetic.</w:t>
      </w:r>
    </w:p>
    <w:p>
      <w:pPr>
        <w:pStyle w:val="Normal"/>
        <w:spacing w:lineRule="auto" w:line="276" w:before="0" w:after="160"/>
        <w:jc w:val="both"/>
        <w:rPr/>
      </w:pPr>
      <w:r>
        <w:rPr/>
        <w:t>It helps to make the comparison concrete. Consider what happens when we export the pattern in Listing 1 to MusicXML. Both layers have to sit on one shared metre, so the independent cycles of twelve and eight pulses collapse onto a single barline and the cross-rhythm that defines the pattern disappears. The gliding tone at pulse nine has no representation at all, because MusicXML and MEI quantise pitch to chromatic steps. The open, muted and rim distinctions carry the linguistic content of the drum, and they flatten into undifferentiated noteheads. The Orisha, the ceremony, the drummer and the validation status have nowhere to live in a score model. YDNL keeps all four. That is the difference the Benchmark Parity Ratio measures.</w:t>
      </w:r>
    </w:p>
    <w:p>
      <w:pPr>
        <w:pStyle w:val="Normal"/>
        <w:spacing w:before="180" w:after="100"/>
        <w:rPr/>
      </w:pPr>
      <w:r>
        <w:rPr>
          <w:b/>
          <w:bCs/>
        </w:rPr>
        <w:t>4.4 System Architecture and Prototype</w:t>
      </w:r>
    </w:p>
    <w:p>
      <w:pPr>
        <w:pStyle w:val="Normal"/>
        <w:spacing w:lineRule="auto" w:line="276" w:before="0" w:after="160"/>
        <w:jc w:val="both"/>
        <w:rPr/>
      </w:pPr>
      <w:r>
        <w:rPr/>
        <w:t>The prototype uses a layered architecture (Figure 2), and one validation contract governs the whole of it. A React interface talks to an Express API over JSON and nothing else. The API routes map directly onto schema operations. Neither the interface nor the API holds any structural logic; both hand every operation on a pattern to a framework-independent core library called ydnl-core. That library holds the data model, the validator, the XML and JSON serialisers, a MusicXML benchmark encoder and the metric functions. For persistence we use a JSON corpus store in the prototype and a PostgreSQL schema that mirrors the entity model in production, both behind a single repository interface. The XSD and JSON Schema are the single source of truth. We enforce them at the API boundary and again inside the core, which keeps the file format, the database and the runtime checks consistent with one another.</w:t>
      </w:r>
    </w:p>
    <w:p>
      <w:pPr>
        <w:pStyle w:val="Normal"/>
        <w:spacing w:before="80" w:after="160"/>
        <w:rPr>
          <w:i/>
          <w:iCs/>
          <w:sz w:val="22"/>
          <w:szCs w:val="22"/>
        </w:rPr>
      </w:pPr>
      <w:r>
        <w:rPr/>
        <w:drawing>
          <wp:inline distT="0" distB="0" distL="0" distR="0">
            <wp:extent cx="5731510" cy="3439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31510" cy="3439160"/>
                    </a:xfrm>
                    <a:prstGeom prst="rect">
                      <a:avLst/>
                    </a:prstGeom>
                    <a:noFill/>
                  </pic:spPr>
                </pic:pic>
              </a:graphicData>
            </a:graphic>
          </wp:inline>
        </w:drawing>
      </w:r>
    </w:p>
    <w:p>
      <w:pPr>
        <w:pStyle w:val="Normal"/>
        <w:spacing w:before="80" w:after="160"/>
        <w:rPr/>
      </w:pPr>
      <w:r>
        <w:rPr>
          <w:i/>
          <w:iCs/>
          <w:sz w:val="22"/>
          <w:szCs w:val="22"/>
        </w:rPr>
        <w:t>Figure 2. Layered Architecture of the YDNL Prototype, With the XSD and JSON Schema Forming a Single Validation Contract Enforced Across the Stack</w:t>
      </w:r>
    </w:p>
    <w:p>
      <w:pPr>
        <w:pStyle w:val="Normal"/>
        <w:spacing w:lineRule="auto" w:line="276" w:before="0" w:after="160"/>
        <w:jc w:val="both"/>
        <w:rPr/>
      </w:pPr>
      <w:r>
        <w:rPr/>
        <w:t>We implemented six components against this core. A graphical timeline encoder places stroke events across several concurrent layers and writes the model directly. A file manager imports and exports schema-valid XML and JSON, reporting errors at element level. A renderer draws each layer as a row of stroke symbols and shows pitch glides as gradient arrows. It also plays the pattern aloud, through a sample-accurate lookahead scheduler that advances each layer on its own metric cycle, so the polymeter is heard and not merely drawn. A searchable library gives faceted access by Orisha, ceremony, instrument, metric ratio and region. A benchmark encoder produces a parallel MusicXML version of any pattern and lists the features the Western format cannot carry, which makes the comparative claim of this paper demonstrable inside the tool itself. The sixth component performs assisted transcription. It analyses a recorded audio clip using onset detection over a signal envelope, autocorrelation pitch estimation, glide classification and decay-based stroke-timbre classification, then emits a draft YDNL pattern for a human to correct. We discuss our reasons for including it in Section 5.</w:t>
      </w:r>
    </w:p>
    <w:p>
      <w:pPr>
        <w:pStyle w:val="Normal"/>
        <w:spacing w:before="180" w:after="100"/>
        <w:rPr/>
      </w:pPr>
      <w:r>
        <w:rPr>
          <w:b/>
          <w:bCs/>
        </w:rPr>
        <w:t>4.5 Measured Structural Results</w:t>
      </w:r>
    </w:p>
    <w:p>
      <w:pPr>
        <w:pStyle w:val="Normal"/>
        <w:spacing w:lineRule="auto" w:line="276" w:before="0" w:after="160"/>
        <w:jc w:val="both"/>
        <w:rPr/>
      </w:pPr>
      <w:r>
        <w:rPr/>
        <w:t>Table 4 reports the three structural metrics we computed over the twelve-pattern reference corpus. The computation script is published with the source code, and it reproduces every value in the table. We wrote the benchmark encoder to be deliberately fair to MusicXML. Onset timing, durations and note values are all representable in MusicXML, and the export preserves them. The losses our metrics count are therefore only the ones the format genuinely cannot express.</w:t>
      </w:r>
    </w:p>
    <w:p>
      <w:pPr>
        <w:pStyle w:val="Normal"/>
        <w:spacing w:before="160" w:after="20"/>
        <w:rPr/>
      </w:pPr>
      <w:r>
        <w:rPr>
          <w:b/>
          <w:bCs/>
        </w:rPr>
        <w:t>Table 4</w:t>
      </w:r>
    </w:p>
    <w:p>
      <w:pPr>
        <w:pStyle w:val="Normal"/>
        <w:spacing w:before="0" w:after="80"/>
        <w:rPr/>
      </w:pPr>
      <w:r>
        <w:rPr>
          <w:i/>
          <w:iCs/>
        </w:rPr>
        <w:t>Structural Evaluation Results Over the Twelve-Pattern Reference Corpus</w:t>
      </w:r>
    </w:p>
    <w:tbl>
      <w:tblPr>
        <w:tblW w:w="9020" w:type="dxa"/>
        <w:jc w:val="start"/>
        <w:tblInd w:w="0" w:type="dxa"/>
        <w:tblLayout w:type="fixed"/>
        <w:tblCellMar>
          <w:top w:w="40" w:type="dxa"/>
          <w:start w:w="90" w:type="dxa"/>
          <w:bottom w:w="40" w:type="dxa"/>
          <w:end w:w="90" w:type="dxa"/>
        </w:tblCellMar>
        <w:tblLook w:val="0000" w:noHBand="0" w:noVBand="0" w:firstColumn="0" w:lastRow="0" w:lastColumn="0" w:firstRow="0"/>
      </w:tblPr>
      <w:tblGrid>
        <w:gridCol w:w="4218"/>
        <w:gridCol w:w="1402"/>
        <w:gridCol w:w="1400"/>
        <w:gridCol w:w="2000"/>
      </w:tblGrid>
      <w:tr>
        <w:trPr>
          <w:tblHeader w:val="true"/>
        </w:trPr>
        <w:tc>
          <w:tcPr>
            <w:tcW w:w="4218"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rPr/>
            </w:pPr>
            <w:r>
              <w:rPr>
                <w:b/>
                <w:bCs/>
                <w:sz w:val="21"/>
                <w:szCs w:val="21"/>
              </w:rPr>
              <w:t>Measure</w:t>
            </w:r>
          </w:p>
        </w:tc>
        <w:tc>
          <w:tcPr>
            <w:tcW w:w="1402"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Mean value</w:t>
            </w:r>
          </w:p>
        </w:tc>
        <w:tc>
          <w:tcPr>
            <w:tcW w:w="140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Target</w:t>
            </w:r>
          </w:p>
        </w:tc>
        <w:tc>
          <w:tcPr>
            <w:tcW w:w="2000"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Normal"/>
              <w:jc w:val="center"/>
              <w:rPr/>
            </w:pPr>
            <w:r>
              <w:rPr>
                <w:b/>
                <w:bCs/>
                <w:sz w:val="21"/>
                <w:szCs w:val="21"/>
              </w:rPr>
              <w:t>Outcome</w:t>
            </w:r>
          </w:p>
        </w:tc>
      </w:tr>
      <w:tr>
        <w:trPr/>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YDNL Encoding Completeness Score</w:t>
            </w:r>
          </w:p>
        </w:tc>
        <w:tc>
          <w:tcPr>
            <w:tcW w:w="14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1.00</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 xml:space="preserve">≥ </w:t>
            </w:r>
            <w:r>
              <w:rPr>
                <w:sz w:val="21"/>
                <w:szCs w:val="21"/>
              </w:rPr>
              <w:t>0.85</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Met</w:t>
            </w:r>
          </w:p>
        </w:tc>
      </w:tr>
      <w:tr>
        <w:trPr/>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MusicXML Encoding Completeness Score (same patterns)</w:t>
            </w:r>
          </w:p>
        </w:tc>
        <w:tc>
          <w:tcPr>
            <w:tcW w:w="14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0.33</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Contrast measure</w:t>
            </w:r>
          </w:p>
        </w:tc>
      </w:tr>
      <w:tr>
        <w:trPr/>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Structural features lost per pattern in MusicXML</w:t>
            </w:r>
          </w:p>
        </w:tc>
        <w:tc>
          <w:tcPr>
            <w:tcW w:w="14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4.2 of 7</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Contrast measure</w:t>
            </w:r>
          </w:p>
        </w:tc>
      </w:tr>
      <w:tr>
        <w:trPr/>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Benchmark Parity Ratio</w:t>
            </w:r>
          </w:p>
        </w:tc>
        <w:tc>
          <w:tcPr>
            <w:tcW w:w="14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2.08</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&gt; 2.0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Met</w:t>
            </w:r>
          </w:p>
        </w:tc>
      </w:tr>
      <w:tr>
        <w:trPr/>
        <w:tc>
          <w:tcPr>
            <w:tcW w:w="4218" w:type="dxa"/>
            <w:tcBorders>
              <w:top w:val="single" w:sz="4" w:space="0" w:color="000000"/>
              <w:start w:val="single" w:sz="4" w:space="0" w:color="000000"/>
              <w:bottom w:val="single" w:sz="4" w:space="0" w:color="000000"/>
              <w:end w:val="single" w:sz="4" w:space="0" w:color="000000"/>
            </w:tcBorders>
            <w:vAlign w:val="center"/>
          </w:tcPr>
          <w:p>
            <w:pPr>
              <w:pStyle w:val="Normal"/>
              <w:rPr/>
            </w:pPr>
            <w:r>
              <w:rPr>
                <w:sz w:val="21"/>
                <w:szCs w:val="21"/>
              </w:rPr>
              <w:t>Retrieval Precision (four faceted queries)</w:t>
            </w:r>
          </w:p>
        </w:tc>
        <w:tc>
          <w:tcPr>
            <w:tcW w:w="14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1.00</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 xml:space="preserve">≥ </w:t>
            </w:r>
            <w:r>
              <w:rPr>
                <w:sz w:val="21"/>
                <w:szCs w:val="21"/>
              </w:rPr>
              <w:t>0.90</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1"/>
                <w:szCs w:val="21"/>
              </w:rPr>
              <w:t>Met</w:t>
            </w:r>
          </w:p>
        </w:tc>
      </w:tr>
    </w:tbl>
    <w:p>
      <w:pPr>
        <w:pStyle w:val="Normal"/>
        <w:spacing w:before="0" w:after="120"/>
        <w:rPr/>
      </w:pPr>
      <w:r>
        <w:rPr/>
      </w:r>
    </w:p>
    <w:p>
      <w:pPr>
        <w:pStyle w:val="Normal"/>
        <w:spacing w:lineRule="auto" w:line="276" w:before="0" w:after="160"/>
        <w:jc w:val="both"/>
        <w:rPr/>
      </w:pPr>
      <w:r>
        <w:rPr/>
        <w:t>The per-pattern results have a structure that makes musical sense. Five of the six Dùndún patterns carry pitch glides, and each of those scores a BPR of 2.50: five YDNL-unique features against the two features MusicXML shares. The sixth is a single-cycle naming-ceremony greeting. It has neither a glide nor independent cycles, and it scores 1.50. The Bàtá patterns score 2.00 when they are polymetric and 1.50 when they are not. Bàtá drums are fixed-pitch and correctly carry no glides, so one YDNL-unique feature is simply absent from them. In MusicXML every pattern in the corpus loses its timbre semantics, its ensemble relationality and its cultural metadata. The polymetric patterns also lose their independent cycles, and the gliding Dùndún patterns lose their glides. We computed retrieval precision over four faceted queries, on Orisha, ceremony, instrument and region, and each returned only relevant patterns. The Practitioner Accuracy Rating and the System Usability Scale both need the fieldwork corpus and human participants. We report them as in progress and offer no estimate.</w:t>
      </w:r>
    </w:p>
    <w:p>
      <w:pPr>
        <w:pStyle w:val="Normal"/>
        <w:spacing w:before="260" w:after="140"/>
        <w:rPr/>
      </w:pPr>
      <w:r>
        <w:rPr>
          <w:b/>
          <w:bCs/>
          <w:sz w:val="26"/>
          <w:szCs w:val="26"/>
        </w:rPr>
        <w:t>5. Discussion</w:t>
      </w:r>
    </w:p>
    <w:p>
      <w:pPr>
        <w:pStyle w:val="Normal"/>
        <w:spacing w:lineRule="auto" w:line="276" w:before="0" w:after="160"/>
        <w:jc w:val="both"/>
        <w:rPr/>
      </w:pPr>
      <w:r>
        <w:rPr/>
        <w:t>Our five metrics are of two different kinds, and the difference matters when reading the results. The Encoding Completeness Score of 1.00 and the retrieval precision of 1.00 are checks on the implementation, not discoveries. We designed YDNL to cover the whole taxonomy, and the search runs on a controlled vocabulary. Both values were always going to be high. What they confirm is that the system behaves as the specification says it should. The substantive findings are the contrast measures. A mean MusicXML Encoding Completeness Score of 0.33 means that two-thirds of the structural content of these patterns simply vanishes in the dominant interchange format. A Benchmark Parity Ratio of 2.08 means that for every structural feature MusicXML keeps, more than two are lost. And because we clamp the ratio's denominator when no features are shared, the figure we report understates the disparity; it does not exaggerate it.</w:t>
      </w:r>
    </w:p>
    <w:p>
      <w:pPr>
        <w:pStyle w:val="Normal"/>
        <w:spacing w:lineRule="auto" w:line="276" w:before="0" w:after="160"/>
        <w:jc w:val="both"/>
        <w:rPr/>
      </w:pPr>
      <w:r>
        <w:rPr/>
        <w:t>This pattern of losses supports our central claim that the encoding gap is architectural, not incidental, because every lost feature fails for its own structural reason. Polymeter fails because MusicXML requires measures to coincide across parts, so two layers cannot each recur at their own period. Pitch glides fail because pitch is quantised to chromatic steps, while the meaning of the dùndún lives in the continuous trajectory between registers. Stroke timbre fails because notation formats treat timbre as an expressive annotation, when in Bàtá practice it is the semantic unit itself. Ensemble relationality and cultural metadata fail for the simplest reason of all: a score model has no slot for either. No amount of annotation layered onto a Western score will recover any of this. Recovering it needs the different primitives YDNL provides. In measurable form, that corroborates Frishkopf's (2021) conclusion that existing representations are inadequate for West African polyrhythm and that notational innovation is required.</w:t>
      </w:r>
    </w:p>
    <w:p>
      <w:pPr>
        <w:pStyle w:val="Normal"/>
        <w:spacing w:lineRule="auto" w:line="276" w:before="0" w:after="160"/>
        <w:jc w:val="both"/>
        <w:rPr/>
      </w:pPr>
      <w:r>
        <w:rPr/>
        <w:t>Representational capability is not the only thing at stake. We also placed cultural authority deliberately outside the software. The mandatory cultural annotation and the three-valued validation status encode the review lifecycle in the data itself. The reference corpus published with this paper carries empty provenance and draft status throughout, and it does so for a plain reason: filling an attribution or validation field with a value that corresponds to no real recording and no real review event would be data fabrication. The organological validation rule applies the same discipline to musical content, by refusing encodings that the instrument could not physically produce. Our abstention from machine learning in the core is itself a methodological finding. Learning-based tools for non-Western music fail first at the representation layer. YDNL supplies the substrate that was missing, so that future transcription, retrieval and generative work will have both training data and an output space that can be evaluated. This also sits well with the evidence that ethnomusicologists do not accept fully automatic transcription for scholarly use (Holzapfel &amp; Benetos, 2019).</w:t>
      </w:r>
    </w:p>
    <w:p>
      <w:pPr>
        <w:pStyle w:val="Normal"/>
        <w:spacing w:lineRule="auto" w:line="276" w:before="0" w:after="160"/>
        <w:jc w:val="both"/>
        <w:rPr/>
      </w:pPr>
      <w:r>
        <w:rPr/>
        <w:t>One last point concerns reach. The vocabulary is controlled and the ensemble model is modular, so the same framework should extend to other traditions once new vocabularies and ensemble roles are added; Igbo Ogene, Ewe Agbekor and Hausa Kalangu are the obvious candidates. Set against the conference subtheme of digital solutions for national infrastructure, this suggests that the right unit of adoption is institutional and not individual. That is why we publish the artefacts openly instead of keeping them as a closed product.</w:t>
      </w:r>
    </w:p>
    <w:p>
      <w:pPr>
        <w:pStyle w:val="Normal"/>
        <w:spacing w:before="260" w:after="140"/>
        <w:rPr/>
      </w:pPr>
      <w:r>
        <w:rPr>
          <w:b/>
          <w:bCs/>
          <w:sz w:val="26"/>
          <w:szCs w:val="26"/>
        </w:rPr>
        <w:t>6. Conclusion, Limitations and Future Work</w:t>
      </w:r>
    </w:p>
    <w:p>
      <w:pPr>
        <w:pStyle w:val="Normal"/>
        <w:spacing w:lineRule="auto" w:line="276" w:before="0" w:after="160"/>
        <w:jc w:val="both"/>
        <w:rPr/>
      </w:pPr>
      <w:r>
        <w:rPr/>
        <w:t>Yorùbá drum traditions are sophisticated knowledge systems. They have been documented extensively, yet they have never been given the machine-readable infrastructure that Western art music has enjoyed for decades. This paper has introduced the YorubaDrum Notation Language: an open schema, a file format and a working prototype, all of which take the music itself as the design domain. That means independent metric cycles, gliding pitch treated as a linguistic register, stroke timbre as a semantic attribute, relational ensemble structure and mandatory cultural metadata. We developed all of it through Design Science Research, with every evaluation threshold fixed in advance. The measured results meet both pre-registered structural targets: a mean Encoding Completeness Score of 1.00 against 0.33 for MusicXML over the same patterns, and a Benchmark Parity Ratio of 2.08. They also place the failure of existing standards at the level of architecture, and not at the level of notational detail.</w:t>
      </w:r>
    </w:p>
    <w:p>
      <w:pPr>
        <w:pStyle w:val="Normal"/>
        <w:spacing w:lineRule="auto" w:line="276" w:before="0" w:after="160"/>
        <w:jc w:val="both"/>
        <w:rPr/>
      </w:pPr>
      <w:r>
        <w:rPr/>
        <w:t>Our work has several limitations, and we want to be clear about them. The measured results come from a synthetic reference corpus whose feature content is known by construction. That is the right instrument for measuring representational capability, but it says nothing yet about how faithfully YDNL captures any specific canonical performance. Our benchmark encoder targets MusicXML only; the incompatibility analysis for MEI is still analytic and not executable. The structural metrics treat a feature as either present or lost, and they do not grade partial degradation, so they understate certain differences. Losing polymeter entirely and approximating it with tuplets, for instance, count the same. Finally, we have not yet collected the usability and accuracy metrics that involve human participants, so we make no claim here about practitioner acceptance.</w:t>
      </w:r>
    </w:p>
    <w:p>
      <w:pPr>
        <w:pStyle w:val="Normal"/>
        <w:spacing w:lineRule="auto" w:line="276" w:before="0" w:after="160"/>
        <w:jc w:val="both"/>
        <w:rPr/>
      </w:pPr>
      <w:r>
        <w:rPr/>
        <w:t>We are addressing these limitations in the next stage of the programme. The immediate task is to complete the twenty-four-pattern fieldwork corpus and to run the Practitioner Accuracy Rating and System Usability Scale studies with master drummers and music educators, so that fidelity to canonical performances can be measured alongside representational capability. After that we intend to implement an executable MEI benchmark, to extend the corpus to further Yorùbá sub-traditions and to diaspora Bàtá variants, and to build profiles for other West African drum families on the same foundation, beginning with Igbo Ogene, Ewe Agbekor and Hausa Kalangu. We also intend to apply machine learning to the resulting dataset, which the present infrastructure makes possible without presupposing it. The retrieval layer that sits above the format is the subject of a companion study. That study maps the cultural annotation onto an OWL 2 ontology, and shows that reasoning over ceremony-to-deity relationships makes archival records findable by deity even when their catalogue entry names only a ceremony (Raphael-Ogbe, Ajayi, Ogbeide, &amp; Ajayi, 2026). Beyond our own programme, we recommend that heritage institutions, university music departments and software engineering groups adopt and extend open standards of this kind as shared preservation infrastructure. An open standard survives only through sustained institutional stewardship.</w:t>
      </w:r>
    </w:p>
    <w:p>
      <w:pPr>
        <w:pStyle w:val="Normal"/>
        <w:spacing w:before="260" w:after="140"/>
        <w:rPr>
          <w:b/>
          <w:bCs/>
          <w:sz w:val="26"/>
          <w:szCs w:val="26"/>
        </w:rPr>
      </w:pPr>
      <w:r>
        <w:rPr>
          <w:b/>
          <w:bCs/>
          <w:sz w:val="26"/>
          <w:szCs w:val="26"/>
        </w:rPr>
      </w:r>
    </w:p>
    <w:p>
      <w:pPr>
        <w:pStyle w:val="Normal"/>
        <w:spacing w:before="260" w:after="140"/>
        <w:rPr>
          <w:b/>
          <w:bCs/>
          <w:sz w:val="26"/>
          <w:szCs w:val="26"/>
        </w:rPr>
      </w:pPr>
      <w:r>
        <w:rPr>
          <w:b/>
          <w:bCs/>
          <w:sz w:val="26"/>
          <w:szCs w:val="26"/>
        </w:rPr>
      </w:r>
    </w:p>
    <w:p>
      <w:pPr>
        <w:pStyle w:val="Normal"/>
        <w:spacing w:before="260" w:after="140"/>
        <w:rPr>
          <w:b/>
          <w:bCs/>
          <w:sz w:val="26"/>
          <w:szCs w:val="26"/>
        </w:rPr>
      </w:pPr>
      <w:r>
        <w:rPr>
          <w:b/>
          <w:bCs/>
          <w:sz w:val="26"/>
          <w:szCs w:val="26"/>
        </w:rPr>
      </w:r>
    </w:p>
    <w:p>
      <w:pPr>
        <w:pStyle w:val="Normal"/>
        <w:spacing w:before="260" w:after="140"/>
        <w:rPr>
          <w:b/>
          <w:bCs/>
          <w:sz w:val="26"/>
          <w:szCs w:val="26"/>
        </w:rPr>
      </w:pPr>
      <w:r>
        <w:rPr>
          <w:b/>
          <w:bCs/>
          <w:sz w:val="26"/>
          <w:szCs w:val="26"/>
        </w:rPr>
      </w:r>
    </w:p>
    <w:p>
      <w:pPr>
        <w:pStyle w:val="Normal"/>
        <w:spacing w:before="260" w:after="140"/>
        <w:rPr>
          <w:b/>
          <w:bCs/>
          <w:sz w:val="26"/>
          <w:szCs w:val="26"/>
        </w:rPr>
      </w:pPr>
      <w:r>
        <w:rPr>
          <w:b/>
          <w:bCs/>
          <w:sz w:val="26"/>
          <w:szCs w:val="26"/>
        </w:rPr>
      </w:r>
    </w:p>
    <w:p>
      <w:pPr>
        <w:pStyle w:val="Normal"/>
        <w:spacing w:before="260" w:after="140"/>
        <w:rPr>
          <w:b/>
          <w:bCs/>
          <w:sz w:val="26"/>
          <w:szCs w:val="26"/>
        </w:rPr>
      </w:pPr>
      <w:r>
        <w:rPr>
          <w:b/>
          <w:bCs/>
          <w:sz w:val="26"/>
          <w:szCs w:val="26"/>
        </w:rPr>
      </w:r>
    </w:p>
    <w:p>
      <w:pPr>
        <w:pStyle w:val="Normal"/>
        <w:spacing w:before="260" w:after="140"/>
        <w:rPr>
          <w:b/>
          <w:bCs/>
          <w:sz w:val="26"/>
          <w:szCs w:val="26"/>
        </w:rPr>
      </w:pPr>
      <w:r>
        <w:rPr>
          <w:b/>
          <w:bCs/>
          <w:sz w:val="26"/>
          <w:szCs w:val="26"/>
        </w:rPr>
      </w:r>
    </w:p>
    <w:p>
      <w:pPr>
        <w:pStyle w:val="Normal"/>
        <w:spacing w:before="260" w:after="140"/>
        <w:rPr>
          <w:b/>
          <w:bCs/>
          <w:sz w:val="26"/>
          <w:szCs w:val="26"/>
        </w:rPr>
      </w:pPr>
      <w:r>
        <w:rPr>
          <w:b/>
          <w:bCs/>
          <w:sz w:val="26"/>
          <w:szCs w:val="26"/>
        </w:rPr>
      </w:r>
    </w:p>
    <w:p>
      <w:pPr>
        <w:pStyle w:val="Normal"/>
        <w:spacing w:before="260" w:after="140"/>
        <w:rPr/>
      </w:pPr>
      <w:r>
        <w:rPr>
          <w:b/>
          <w:bCs/>
          <w:sz w:val="26"/>
          <w:szCs w:val="26"/>
        </w:rPr>
        <w:t>7. References</w:t>
      </w:r>
    </w:p>
    <w:p>
      <w:pPr>
        <w:pStyle w:val="Normal"/>
        <w:spacing w:lineRule="auto" w:line="276" w:before="0" w:after="100"/>
        <w:ind w:hanging="720" w:start="720"/>
        <w:jc w:val="both"/>
        <w:rPr/>
      </w:pPr>
      <w:r>
        <w:rPr/>
        <w:t>Agawu, K. (2016). The African imagination in music. New York, NY: Oxford University Press.</w:t>
      </w:r>
    </w:p>
    <w:p>
      <w:pPr>
        <w:pStyle w:val="Normal"/>
        <w:spacing w:lineRule="auto" w:line="276" w:before="0" w:after="100"/>
        <w:ind w:hanging="720" w:start="720"/>
        <w:jc w:val="both"/>
        <w:rPr/>
      </w:pPr>
      <w:r>
        <w:rPr/>
        <w:t>Arom, S. (1991). African polyphony and polyrhythm: Musical structure and methodology. Cambridge, England: Cambridge University Press.</w:t>
      </w:r>
    </w:p>
    <w:p>
      <w:pPr>
        <w:pStyle w:val="Normal"/>
        <w:spacing w:lineRule="auto" w:line="276" w:before="0" w:after="100"/>
        <w:ind w:hanging="720" w:start="720"/>
        <w:jc w:val="both"/>
        <w:rPr/>
      </w:pPr>
      <w:r>
        <w:rPr/>
        <w:t>Authority, A. O. U. (2025). Introducing AFRI Score, a web-based learning system for scoring African music nuances: Musical-engineering approach to culturally informed software development. International Journal of Research and Scientific Innovation, 12(13), 148–174. doi:10.51244/IJRSI.2025.1213CS0013</w:t>
      </w:r>
    </w:p>
    <w:p>
      <w:pPr>
        <w:pStyle w:val="Normal"/>
        <w:spacing w:lineRule="auto" w:line="276" w:before="0" w:after="100"/>
        <w:ind w:hanging="720" w:start="720"/>
        <w:jc w:val="both"/>
        <w:rPr/>
      </w:pPr>
      <w:r>
        <w:rPr/>
        <w:t>British Museum Endangered Material Knowledge Programme. (2025). Documenting the making and uses of Bàtá, a Yoruba sacred drum ensemble. Retrieved from https://www.emkp.org/bata-yoruba-sacred-drum-nigeria/</w:t>
      </w:r>
    </w:p>
    <w:p>
      <w:pPr>
        <w:pStyle w:val="Normal"/>
        <w:spacing w:lineRule="auto" w:line="276" w:before="0" w:after="100"/>
        <w:ind w:hanging="720" w:start="720"/>
        <w:jc w:val="both"/>
        <w:rPr/>
      </w:pPr>
      <w:r>
        <w:rPr/>
        <w:t>Durojaye, C., Fink, L., Roeske, T., Wald-Fuhrmann, M., &amp; Larrouy-Maestri, P. (2021). Perception of Nigerian dùndún talking drum performances as speech-like vs. music-like: The role of familiarity and acoustic cues. Frontiers in Psychology, 12, 652673. doi:10.3389/fpsyg.2021.652673</w:t>
      </w:r>
    </w:p>
    <w:p>
      <w:pPr>
        <w:pStyle w:val="Normal"/>
        <w:spacing w:lineRule="auto" w:line="276" w:before="0" w:after="100"/>
        <w:ind w:hanging="720" w:start="720"/>
        <w:jc w:val="both"/>
        <w:rPr/>
      </w:pPr>
      <w:r>
        <w:rPr/>
        <w:t>Durojaye, C., Knowles, K. L., Patten, K. J., Garcia, M. J., &amp; McBeath, M. K. (2021). When music speaks: An acoustic study of the speech surrogacy of the Nigerian dùndún talking drum. Frontiers in Communication, 6, 652690. doi:10.3389/fcomm.2021.652690</w:t>
      </w:r>
    </w:p>
    <w:p>
      <w:pPr>
        <w:pStyle w:val="Normal"/>
        <w:spacing w:lineRule="auto" w:line="276" w:before="0" w:after="100"/>
        <w:ind w:hanging="720" w:start="720"/>
        <w:jc w:val="both"/>
        <w:rPr/>
      </w:pPr>
      <w:r>
        <w:rPr/>
        <w:t>Euba, A. (1990). Yoruba drumming: The dùndún tradition. Bayreuth, Germany: Bayreuth African Studies.</w:t>
      </w:r>
    </w:p>
    <w:p>
      <w:pPr>
        <w:pStyle w:val="Normal"/>
        <w:spacing w:lineRule="auto" w:line="276" w:before="0" w:after="100"/>
        <w:ind w:hanging="720" w:start="720"/>
        <w:jc w:val="both"/>
        <w:rPr/>
      </w:pPr>
      <w:r>
        <w:rPr/>
        <w:t>Frishkopf, M. (2021). West African polyrhythm: Culture, theory, and representation. SHS Web of Conferences, 102, 05001. doi:10.1051/shsconf/202110205001</w:t>
      </w:r>
    </w:p>
    <w:p>
      <w:pPr>
        <w:pStyle w:val="Normal"/>
        <w:spacing w:lineRule="auto" w:line="276" w:before="0" w:after="100"/>
        <w:ind w:hanging="720" w:start="720"/>
        <w:jc w:val="both"/>
        <w:rPr/>
      </w:pPr>
      <w:r>
        <w:rPr/>
        <w:t>González, M., &amp; Oludare, O. (2022). The speech surrogacy systems of the Yoruba dùndún and bàtá drums: On the interface between organology and phonology. Frontiers in Communication, 6, 652542. doi:10.3389/fcomm.2021.652542</w:t>
      </w:r>
    </w:p>
    <w:p>
      <w:pPr>
        <w:pStyle w:val="Normal"/>
        <w:spacing w:lineRule="auto" w:line="276" w:before="0" w:after="100"/>
        <w:ind w:hanging="720" w:start="720"/>
        <w:jc w:val="both"/>
        <w:rPr/>
      </w:pPr>
      <w:r>
        <w:rPr/>
        <w:t>Good, M. (2001). MusicXML: An internet-friendly format for sheet music. In Proceedings of the XML 2001 Conference. Orlando, FL: IDEAlliance.</w:t>
      </w:r>
    </w:p>
    <w:p>
      <w:pPr>
        <w:pStyle w:val="Normal"/>
        <w:spacing w:lineRule="auto" w:line="276" w:before="0" w:after="100"/>
        <w:ind w:hanging="720" w:start="720"/>
        <w:jc w:val="both"/>
        <w:rPr/>
      </w:pPr>
      <w:r>
        <w:rPr/>
        <w:t>Gwerevende, S., &amp; Mthombeni, Z. M. (2023). Safeguarding intangible cultural heritage: Exploring the synergies in the transmission of Indigenous languages, dance and music practices in Southern Africa. International Journal of Heritage Studies, 29(5), 398–412. doi:10.1080/13527258.2023.2193902</w:t>
      </w:r>
    </w:p>
    <w:p>
      <w:pPr>
        <w:pStyle w:val="Normal"/>
        <w:spacing w:lineRule="auto" w:line="276" w:before="0" w:after="100"/>
        <w:ind w:hanging="720" w:start="720"/>
        <w:jc w:val="both"/>
        <w:rPr/>
      </w:pPr>
      <w:r>
        <w:rPr/>
        <w:t>Hevner, A. R., March, S. T., Park, J., &amp; Ram, S. (2004). Design science in information systems research. MIS Quarterly, 28(1), 75–105. doi:10.2307/25148625</w:t>
      </w:r>
    </w:p>
    <w:p>
      <w:pPr>
        <w:pStyle w:val="Normal"/>
        <w:spacing w:lineRule="auto" w:line="276" w:before="0" w:after="100"/>
        <w:ind w:hanging="720" w:start="720"/>
        <w:jc w:val="both"/>
        <w:rPr/>
      </w:pPr>
      <w:r>
        <w:rPr/>
        <w:t>Holzapfel, A., &amp; Benetos, E. (2019). Automatic music transcription and ethnomusicology: A user study. In Proceedings of the 20th International Society for Music Information Retrieval Conference (ISMIR). Delft, The Netherlands: ISMIR.</w:t>
      </w:r>
    </w:p>
    <w:p>
      <w:pPr>
        <w:pStyle w:val="Normal"/>
        <w:spacing w:lineRule="auto" w:line="276" w:before="0" w:after="100"/>
        <w:ind w:hanging="720" w:start="720"/>
        <w:jc w:val="both"/>
        <w:rPr/>
      </w:pPr>
      <w:r>
        <w:rPr/>
        <w:t>Hou, Y., Kenderdine, S., Picca, D., Egloff, M., &amp; Adamou, A. (2022). Digitizing intangible cultural heritage embodied: State of the art. Journal on Computing and Cultural Heritage, 15(3), Article 55. doi:10.1145/3494837</w:t>
      </w:r>
    </w:p>
    <w:p>
      <w:pPr>
        <w:pStyle w:val="Normal"/>
        <w:spacing w:lineRule="auto" w:line="276" w:before="0" w:after="100"/>
        <w:ind w:hanging="720" w:start="720"/>
        <w:jc w:val="both"/>
        <w:rPr/>
      </w:pPr>
      <w:r>
        <w:rPr/>
        <w:t>Huron, D. (1994). The Humdrum Toolkit: Reference manual. Menlo Park, CA: Center for Computer Assisted Research in the Humanities.</w:t>
      </w:r>
    </w:p>
    <w:p>
      <w:pPr>
        <w:pStyle w:val="Normal"/>
        <w:spacing w:lineRule="auto" w:line="276" w:before="0" w:after="100"/>
        <w:ind w:hanging="720" w:start="720"/>
        <w:jc w:val="both"/>
        <w:rPr/>
      </w:pPr>
      <w:r>
        <w:rPr/>
        <w:t>McPherson, L. (2018). The talking balafon of the Sambla: Grammatical principles and documentary implications. Anthropological Linguistics, 60(3), 255–294.</w:t>
      </w:r>
    </w:p>
    <w:p>
      <w:pPr>
        <w:pStyle w:val="Normal"/>
        <w:spacing w:lineRule="auto" w:line="276" w:before="0" w:after="100"/>
        <w:ind w:hanging="720" w:start="720"/>
        <w:jc w:val="both"/>
        <w:rPr/>
      </w:pPr>
      <w:r>
        <w:rPr/>
        <w:t>Metropolitan Museum of Art. (2024). Bàtá (ìyáàlù) drum, Yoruba people. Retrieved from https://www.metmuseum.org/art/collection/search/506814</w:t>
      </w:r>
    </w:p>
    <w:p>
      <w:pPr>
        <w:pStyle w:val="Normal"/>
        <w:spacing w:lineRule="auto" w:line="276" w:before="0" w:after="100"/>
        <w:ind w:hanging="720" w:start="720"/>
        <w:jc w:val="both"/>
        <w:rPr/>
      </w:pPr>
      <w:r>
        <w:rPr/>
        <w:t>Music Encoding Initiative. (2023). MEI guidelines (Version 5.0). Retrieved from https://music-encoding.org/guidelines/v5</w:t>
      </w:r>
    </w:p>
    <w:p>
      <w:pPr>
        <w:pStyle w:val="Normal"/>
        <w:spacing w:lineRule="auto" w:line="276" w:before="0" w:after="100"/>
        <w:ind w:hanging="720" w:start="720"/>
        <w:jc w:val="both"/>
        <w:rPr/>
      </w:pPr>
      <w:r>
        <w:rPr/>
        <w:t>Panteli, M., Benetos, E., &amp; Dixon, S. (2018). A review of manual and computational approaches for the study of world music corpora. Journal of New Music Research, 47(2), 176–189. doi:10.1080/09298215.2017.1418896</w:t>
      </w:r>
    </w:p>
    <w:p>
      <w:pPr>
        <w:pStyle w:val="Normal"/>
        <w:spacing w:lineRule="auto" w:line="276" w:before="0" w:after="100"/>
        <w:ind w:hanging="720" w:start="720"/>
        <w:jc w:val="both"/>
        <w:rPr/>
      </w:pPr>
      <w:r>
        <w:rPr/>
        <w:t>Raphael-Ogbe, O. G., Ajayi, E. T., Ogbeide, O. L., &amp; Ajayi, O. O. (2026). A semantic metadata retrieval system for Yorùbá cultural drum archives. Paper presented at the 1st International Conference on Emerging Computing Applications and Technologies (ECAT’26), Akure, Nigeria.</w:t>
      </w:r>
    </w:p>
    <w:p>
      <w:pPr>
        <w:pStyle w:val="Normal"/>
        <w:spacing w:lineRule="auto" w:line="276" w:before="0" w:after="100"/>
        <w:ind w:hanging="720" w:start="720"/>
        <w:jc w:val="both"/>
        <w:rPr/>
      </w:pPr>
      <w:r>
        <w:rPr/>
        <w:t>Tzanetakis, G., Kapur, A., Schloss, W. A., &amp; Wright, M. (2007). Computational ethnomusicology. Journal of Interdisciplinary Music Studies, 1(2), 1–24.</w:t>
      </w:r>
    </w:p>
    <w:p>
      <w:pPr>
        <w:pStyle w:val="Normal"/>
        <w:spacing w:lineRule="auto" w:line="276" w:before="0" w:after="100"/>
        <w:ind w:hanging="720" w:start="720"/>
        <w:jc w:val="both"/>
        <w:rPr/>
      </w:pPr>
      <w:r>
        <w:rPr/>
        <w:t>UNESCO. (2003). Convention for the safeguarding of the intangible cultural heritage. Retrieved from https://ich.unesco.org/en/convention</w:t>
      </w:r>
    </w:p>
    <w:p>
      <w:pPr>
        <w:pStyle w:val="Normal"/>
        <w:spacing w:lineRule="auto" w:line="276" w:before="0" w:after="100"/>
        <w:ind w:hanging="720" w:start="720"/>
        <w:jc w:val="both"/>
        <w:rPr/>
      </w:pPr>
      <w:r>
        <w:rPr/>
        <w:t>Villepastour, A. (2010). Ancient text messages of the Yorùbá bàtá drum: Cracking the code. Farnham, England: Ashgate.</w:t>
      </w:r>
    </w:p>
    <w:p>
      <w:pPr>
        <w:pStyle w:val="Normal"/>
        <w:spacing w:lineRule="auto" w:line="276" w:before="0" w:after="100"/>
        <w:ind w:hanging="720" w:start="720"/>
        <w:jc w:val="both"/>
        <w:rPr/>
      </w:pPr>
      <w:r>
        <w:rPr/>
        <w:t>W3C Music Notation Community Group. (2021). MusicXML version 4.0 (Final Community Group Report). Retrieved from https://www.w3.org/2021/06/musicxml40/</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customStyle="1">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LibreOffice/26.2.2.2$Linux_X86_64 LibreOffice_project/620$Build-2</Application>
  <AppVersion>15.0000</AppVersion>
  <Pages>14</Pages>
  <Words>5326</Words>
  <Characters>32575</Characters>
  <CharactersWithSpaces>37832</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2026-07-10T11:34:00Z</dcterms:created>
  <dc:creator>Un-named</dc:creator>
  <dc:description/>
  <dc:language>en-US</dc:language>
  <cp:lastModifiedBy/>
  <dcterms:modified xsi:type="dcterms:W3CDTF">2026-08-24T23:34:45Z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