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 &amp; Lisa DeBruine</w:t>
      </w:r>
    </w:p>
    <w:p>
      <w:pPr>
        <w:pStyle w:val="Date"/>
      </w:pPr>
      <w:r>
        <w:t xml:space="preserve">2024-06-21</w:t>
      </w:r>
    </w:p>
    <w:p>
      <w:pPr>
        <w:pStyle w:val="FirstParagraph"/>
      </w:pPr>
      <w:r>
        <w:t xml:space="preserve">This paper demonstrates some good and poor practices for use with the {metacheck} R package and Shiny app. All data are simulated. The paper shows examples of (1) open and closed OSF links; (2a) citation of retracted papers, (2b) citations without a doi, (2c) citations with Pubpeer comments, (2d) citations in the FORTT replication database, and (2e) missing/mismatched/incorrect citations and references; (3a) R files with code on GitHub that do not load libraries in one location, (3b) load files that are not shared in the repository, (3c) lack comments, and (3d) have hard-coded files, (4) imprecise reporting of non-significant p-values; (5) tests with and without effect sizes, and (6) use of</w:t>
      </w:r>
      <w:r>
        <w:t xml:space="preserve"> </w:t>
      </w:r>
      <w:r>
        <w:t xml:space="preserve">“marginally significant”</w:t>
      </w:r>
      <w:r>
        <w:t xml:space="preserve"> </w:t>
      </w:r>
      <w:r>
        <w:t xml:space="preserve">to describe non-significant findings.</w:t>
      </w:r>
    </w:p>
    <w:bookmarkStart w:id="20" w:name="introduction"/>
    <w:p>
      <w:pPr>
        <w:pStyle w:val="Heading2"/>
      </w:pPr>
      <w:r>
        <w:t xml:space="preserve">Introduction</w:t>
      </w:r>
    </w:p>
    <w:p>
      <w:pPr>
        <w:pStyle w:val="FirstParagraph"/>
      </w:pPr>
      <w:r>
        <w:t xml:space="preserve">Although intentional dishonestly might be a successful way to boost creativity (Gino &amp; Wiltermuth, 2014), it is safe to say most mistakes researchers make are unintentional. From a human factors perspective, human error is a symptom of a poor design (Smithy, 2020). Automation can be use to check for errors in scientific manuscripts, and inform authors about possible corrections. In this study we examine the usefulness of metacheck to improve best practices.</w:t>
      </w:r>
    </w:p>
    <w:bookmarkEnd w:id="20"/>
    <w:bookmarkStart w:id="22" w:name="method-and-participants"/>
    <w:p>
      <w:pPr>
        <w:pStyle w:val="Heading2"/>
      </w:pPr>
      <w:r>
        <w:t xml:space="preserve">Method and Participants</w:t>
      </w:r>
    </w:p>
    <w:p>
      <w:pPr>
        <w:pStyle w:val="FirstParagraph"/>
      </w:pPr>
      <w:r>
        <w:t xml:space="preserve">In this study we examine whether automated checks reduce the amount of errors that researchers make in scientific manuscripts. This study was preregistered at</w:t>
      </w:r>
      <w:r>
        <w:t xml:space="preserve"> </w:t>
      </w:r>
      <w:hyperlink r:id="rId21">
        <w:r>
          <w:rPr>
            <w:rStyle w:val="Hyperlink"/>
          </w:rPr>
          <w:t xml:space="preserve">osf.io/5tbm9</w:t>
        </w:r>
      </w:hyperlink>
      <w:r>
        <w:t xml:space="preserve">. We randomly assigned 50 scientists to a condition where their manuscript was automatically checked for errors, an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 Data and analysis code is available from https://github.com/Lakens/to_err_is_human.</w:t>
      </w:r>
    </w:p>
    <w:bookmarkEnd w:id="22"/>
    <w:bookmarkStart w:id="32" w:name="results"/>
    <w:p>
      <w:pPr>
        <w:pStyle w:val="Heading2"/>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6" w:name="fig-sim"/>
          <w:p>
            <w:pPr>
              <w:pStyle w:val="Compact"/>
              <w:jc w:val="center"/>
            </w:pPr>
            <w:r>
              <w:drawing>
                <wp:inline>
                  <wp:extent cx="4620126" cy="3696101"/>
                  <wp:effectExtent b="0" l="0" r="0" t="0"/>
                  <wp:docPr descr="" title="" id="24" name="Picture"/>
                  <a:graphic>
                    <a:graphicData uri="http://schemas.openxmlformats.org/drawingml/2006/picture">
                      <pic:pic>
                        <pic:nvPicPr>
                          <pic:cNvPr descr="to_err_is_human_files/figure-docx/fig-sim-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simulated data</w:t>
            </w:r>
          </w:p>
          <w:bookmarkEnd w:id="26"/>
        </w:tc>
      </w:tr>
    </w:tbl>
    <w:p>
      <w:pPr>
        <w:pStyle w:val="BodyText"/>
      </w:pPr>
      <w:r>
        <w:t xml:space="preserve">All data needed to reproduce the analyses in</w:t>
      </w:r>
      <w:r>
        <w:t xml:space="preserve"> </w:t>
      </w:r>
      <w:hyperlink w:anchor="tbl-summary">
        <w:r>
          <w:rPr>
            <w:rStyle w:val="Hyperlink"/>
          </w:rPr>
          <w:t xml:space="preserve">Table 1</w:t>
        </w:r>
      </w:hyperlink>
      <w:r>
        <w:t xml:space="preserve"> </w:t>
      </w:r>
      <w:r>
        <w:t xml:space="preserve">is available from</w:t>
      </w:r>
      <w:r>
        <w:t xml:space="preserve"> </w:t>
      </w:r>
      <w:hyperlink r:id="rId21">
        <w:r>
          <w:rPr>
            <w:rStyle w:val="Hyperlink"/>
          </w:rPr>
          <w:t xml:space="preserve">https://osf.io/5tbm9</w:t>
        </w:r>
      </w:hyperlink>
      <w:r>
        <w:t xml:space="preserve"> </w:t>
      </w:r>
      <w:r>
        <w:t xml:space="preserve">and code is available from</w:t>
      </w:r>
      <w:r>
        <w:t xml:space="preserve"> </w:t>
      </w:r>
      <w:hyperlink r:id="rId27">
        <w:r>
          <w:rPr>
            <w:rStyle w:val="Hyperlink"/>
          </w:rPr>
          <w:t xml:space="preserve">the OSF</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summary"/>
          <w:p>
            <w:pPr>
              <w:jc w:val="center"/>
            </w:pPr>
            <w:pPr>
              <w:jc w:val="star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28"/>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w:t>
      </w:r>
    </w:p>
    <w:p>
      <w:pPr>
        <w:pStyle w:val="BodyText"/>
      </w:pPr>
      <w:r>
        <w:drawing>
          <wp:inline>
            <wp:extent cx="4620126" cy="3696101"/>
            <wp:effectExtent b="0" l="0" r="0" t="0"/>
            <wp:docPr descr="" title="" id="30" name="Picture"/>
            <a:graphic>
              <a:graphicData uri="http://schemas.openxmlformats.org/drawingml/2006/picture">
                <pic:pic>
                  <pic:nvPicPr>
                    <pic:cNvPr descr="to_err_is_human_files/figure-docx/unnamed-chunk-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w:t>
      </w:r>
    </w:p>
    <w:bookmarkEnd w:id="32"/>
    <w:bookmarkStart w:id="33" w:name="discussion"/>
    <w:p>
      <w:pPr>
        <w:pStyle w:val="Heading2"/>
      </w:pPr>
      <w:r>
        <w:t xml:space="preserve">Discussion</w:t>
      </w:r>
    </w:p>
    <w:p>
      <w:pPr>
        <w:pStyle w:val="FirstParagraph"/>
      </w:pPr>
      <w:r>
        <w:t xml:space="preserve">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3"/>
    <w:bookmarkStart w:id="34" w:name="references"/>
    <w:p>
      <w:pPr>
        <w:pStyle w:val="Heading2"/>
      </w:pPr>
      <w:r>
        <w:t xml:space="preserve">References</w:t>
      </w:r>
    </w:p>
    <w:p>
      <w:pPr>
        <w:pStyle w:val="FirstParagraph"/>
      </w:pPr>
      <w:r>
        <w:t xml:space="preserve">Gangestad, S. W., &amp; Thornhill, R. (1998). Menstrual cycle variation in women’s preferences for the scent of symmetrical men. Proceedings Biological Sciences, 22, 927-933. doi: 10.1098/rspb.1998.0380.</w:t>
      </w:r>
    </w:p>
    <w:p>
      <w:pPr>
        <w:pStyle w:val="BodyText"/>
      </w:pPr>
      <w:r>
        <w:t xml:space="preserve">Gino, F., &amp; Wiltermuth, S. S. (2014). Evil Genius? How Dishonesty Can Lead to Greater Creativity. Psychological Science, 25(4), 973–981. https://doi.org/10.1177/0956797614520714</w:t>
      </w:r>
    </w:p>
    <w:p>
      <w:pPr>
        <w:pStyle w:val="BodyText"/>
      </w:pPr>
      <w:r>
        <w:t xml:space="preserve">Smith, F. (2021). Human error is a symptom of a poor design. Journal of Journals, 0(0), 0. https://doi.org/10.0000/0123456789</w:t>
      </w:r>
    </w:p>
    <w:p>
      <w:pPr>
        <w:pStyle w:val="BodyText"/>
      </w:pPr>
      <w:r>
        <w:t xml:space="preserve">Lakens, D. (2018). Equivalence testing for psychological research. Advances in Methods and Practices in Psychological Science, 1, 259-270.</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hyperlink" Id="rId21" Target="https://osf.io/5tbm9" TargetMode="External" /><Relationship Type="http://schemas.openxmlformats.org/officeDocument/2006/relationships/hyperlink" Id="rId27" Target="https://osf.io/629bx" TargetMode="External" /></Relationships>
</file>

<file path=word/_rels/footnotes.xml.rels><?xml version="1.0" encoding="UTF-8"?><Relationships xmlns="http://schemas.openxmlformats.org/package/2006/relationships"><Relationship Type="http://schemas.openxmlformats.org/officeDocument/2006/relationships/hyperlink" Id="rId21" Target="https://osf.io/5tbm9" TargetMode="External" /><Relationship Type="http://schemas.openxmlformats.org/officeDocument/2006/relationships/hyperlink" Id="rId27" Target="https://osf.io/629b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&amp; Lisa DeBruine</dc:creator>
  <cp:keywords/>
  <dcterms:created xsi:type="dcterms:W3CDTF">2025-11-27T18:54:33Z</dcterms:created>
  <dcterms:modified xsi:type="dcterms:W3CDTF">2025-11-27T18:54:33Z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2024-06-21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