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23.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 </w:t>
      </w:r>
    </w:p>
    <w:p>
      <w:pPr>
        <w:pStyle w:val="BodyText"/>
      </w:pPr>
      <w:r>
        <w:t xml:space="preserve"> </w:t>
      </w:r>
    </w:p>
    <w:bookmarkStart w:id="22" w:name="title"/>
    <w:p>
      <w:pPr>
        <w:pStyle w:val="Heading1"/>
      </w:pPr>
      <w:r>
        <w:t xml:space="preserve">Toward standardized reporting of power analyses</w:t>
      </w:r>
    </w:p>
    <w:p>
      <w:pPr>
        <w:pStyle w:val="Author"/>
      </w:pPr>
      <w:r>
        <w:t xml:space="preserve"> </w:t>
      </w:r>
    </w:p>
    <w:p>
      <w:pPr>
        <w:pStyle w:val="Author"/>
      </w:pPr>
      <w:r>
        <w:t xml:space="preserve">Cristian Mesquida</w:t>
      </w:r>
      <w:r>
        <w:rPr>
          <w:vertAlign w:val="superscript"/>
        </w:rPr>
        <w:t xml:space="preserve">1</w:t>
      </w:r>
      <w:r>
        <w:t xml:space="preserve">, Daniël Lakens</w:t>
      </w:r>
      <w:r>
        <w:rPr>
          <w:vertAlign w:val="superscript"/>
        </w:rPr>
        <w:t xml:space="preserve">1</w:t>
      </w:r>
      <w:r>
        <w:t xml:space="preserve">, and Lisa DeBruine</w:t>
      </w:r>
      <w:r>
        <w:rPr>
          <w:vertAlign w:val="superscript"/>
        </w:rPr>
        <w:t xml:space="preserve">2</w:t>
      </w:r>
    </w:p>
    <w:p>
      <w:pPr>
        <w:pStyle w:val="Author"/>
      </w:pPr>
      <w:r>
        <w:rPr>
          <w:vertAlign w:val="superscript"/>
        </w:rPr>
        <w:t xml:space="preserve">1</w:t>
      </w:r>
      <w:r>
        <w:t xml:space="preserve">Industrial Engineering and Innovation Sciences, Eindhoven University of Technology</w:t>
      </w:r>
    </w:p>
    <w:p>
      <w:pPr>
        <w:pStyle w:val="Author"/>
      </w:pPr>
      <w:r>
        <w:rPr>
          <w:vertAlign w:val="superscript"/>
        </w:rPr>
        <w:t xml:space="preserve">2</w:t>
      </w:r>
      <w:r>
        <w:t xml:space="preserve">Institute of Neuroscience and Psychology, University of Glasgow</w:t>
      </w:r>
    </w:p>
    <w:p>
      <w:pPr>
        <w:pStyle w:val="BodyText"/>
      </w:pPr>
      <w:r>
        <w:t xml:space="preserve"> </w:t>
      </w:r>
    </w:p>
    <w:p>
      <w:pPr>
        <w:pStyle w:val="BodyText"/>
      </w:pPr>
      <w:r>
        <w:t xml:space="preserve"> </w:t>
      </w:r>
    </w:p>
    <w:bookmarkEnd w:id="22"/>
    <w:bookmarkStart w:id="37" w:name="author-note"/>
    <w:p>
      <w:pPr>
        <w:pStyle w:val="Heading1"/>
      </w:pPr>
      <w:r>
        <w:t xml:space="preserve">Author Note</w:t>
      </w:r>
    </w:p>
    <w:p>
      <w:pPr>
        <w:pStyle w:val="FirstParagraph"/>
      </w:pPr>
      <w:r>
        <w:t xml:space="preserve">Cristian Mesquida</w:t>
      </w:r>
      <w:r>
        <w:t xml:space="preserve"> </w:t>
      </w:r>
      <w:bookmarkStart w:id="26" w:name="orchid"/>
      <w:r>
        <w:drawing>
          <wp:inline>
            <wp:extent cx="152279" cy="152279"/>
            <wp:effectExtent b="0" l="0" r="0" t="0"/>
            <wp:docPr descr="Orcid ID Logo: A green circle with white letters ID" title="" id="24" name="Picture"/>
            <a:graphic>
              <a:graphicData uri="http://schemas.openxmlformats.org/drawingml/2006/picture">
                <pic:pic>
                  <pic:nvPicPr>
                    <pic:cNvPr descr="_extensions/wjschne/apaquarto/ORCID-iD_icon-vector.svg" id="2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26"/>
      <w:r>
        <w:t xml:space="preserve"> </w:t>
      </w:r>
      <w:hyperlink r:id="rId27">
        <w:r>
          <w:rPr>
            <w:rStyle w:val="Hyperlink"/>
          </w:rPr>
          <w:t xml:space="preserve">https://orcid.org/0000-0002-1542-8355</w:t>
        </w:r>
      </w:hyperlink>
    </w:p>
    <w:p>
      <w:pPr>
        <w:pStyle w:val="BodyText"/>
      </w:pPr>
      <w:r>
        <w:t xml:space="preserve">Daniël Lakens</w:t>
      </w:r>
      <w:r>
        <w:t xml:space="preserve"> </w:t>
      </w:r>
      <w:bookmarkStart w:id="30" w:name="orchid"/>
      <w:r>
        <w:drawing>
          <wp:inline>
            <wp:extent cx="152279" cy="152279"/>
            <wp:effectExtent b="0" l="0" r="0" t="0"/>
            <wp:docPr descr="Orcid ID Logo: A green circle with white letters ID" title="" id="28" name="Picture"/>
            <a:graphic>
              <a:graphicData uri="http://schemas.openxmlformats.org/drawingml/2006/picture">
                <pic:pic>
                  <pic:nvPicPr>
                    <pic:cNvPr descr="_extensions/wjschne/apaquarto/ORCID-iD_icon-vector.svg" id="2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30"/>
      <w:r>
        <w:t xml:space="preserve"> </w:t>
      </w:r>
      <w:hyperlink r:id="rId31">
        <w:r>
          <w:rPr>
            <w:rStyle w:val="Hyperlink"/>
          </w:rPr>
          <w:t xml:space="preserve">https://orcid.org/0000-0002-8393-5316</w:t>
        </w:r>
      </w:hyperlink>
    </w:p>
    <w:p>
      <w:pPr>
        <w:pStyle w:val="BodyText"/>
      </w:pPr>
      <w:r>
        <w:t xml:space="preserve">Lisa DeBruine</w:t>
      </w:r>
      <w:r>
        <w:t xml:space="preserve"> </w:t>
      </w:r>
      <w:bookmarkStart w:id="34" w:name="orchid"/>
      <w:r>
        <w:drawing>
          <wp:inline>
            <wp:extent cx="152279" cy="152279"/>
            <wp:effectExtent b="0" l="0" r="0" t="0"/>
            <wp:docPr descr="Orcid ID Logo: A green circle with white letters ID" title="" id="32" name="Picture"/>
            <a:graphic>
              <a:graphicData uri="http://schemas.openxmlformats.org/drawingml/2006/picture">
                <pic:pic>
                  <pic:nvPicPr>
                    <pic:cNvPr descr="_extensions/wjschne/apaquarto/ORCID-iD_icon-vector.svg" id="3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34"/>
      <w:r>
        <w:t xml:space="preserve"> </w:t>
      </w:r>
      <w:hyperlink r:id="rId35">
        <w:r>
          <w:rPr>
            <w:rStyle w:val="Hyperlink"/>
          </w:rPr>
          <w:t xml:space="preserve">https://orcid.org/0000-0002-7523-5539</w:t>
        </w:r>
      </w:hyperlink>
    </w:p>
    <w:p>
      <w:pPr>
        <w:pStyle w:val="BodyText"/>
      </w:pPr>
      <w:r>
        <w:t xml:space="preserve">The data and analysis scripts related to this study are publicly available on the Open Science Framework and can be found at XXX Authors declare no conflicts of interest</w:t>
      </w:r>
    </w:p>
    <w:p>
      <w:pPr>
        <w:pStyle w:val="BodyText"/>
      </w:pPr>
      <w:r>
        <w:t xml:space="preserve">Author roles were classified using the Contributor Role Taxonomy (CRediT; https://credit.niso.org/) as follows: </w:t>
      </w:r>
      <w:r>
        <w:rPr>
          <w:i/>
          <w:iCs/>
        </w:rPr>
        <w:t xml:space="preserve">Cristian Mesquida</w:t>
      </w:r>
      <w:r>
        <w:rPr>
          <w:b/>
          <w:bCs/>
        </w:rPr>
        <w:t xml:space="preserve">: </w:t>
      </w:r>
      <w:r>
        <w:t xml:space="preserve">conceptualization, methodology, investigation, formal analysis, data curation, and writing — original draft. </w:t>
      </w:r>
      <w:r>
        <w:rPr>
          <w:i/>
          <w:iCs/>
        </w:rPr>
        <w:t xml:space="preserve">Daniël Lakens</w:t>
      </w:r>
      <w:r>
        <w:rPr>
          <w:b/>
          <w:bCs/>
        </w:rPr>
        <w:t xml:space="preserve">: </w:t>
      </w:r>
      <w:r>
        <w:t xml:space="preserve">conceptualization, methodology, investigation, formal analysis, data curation, and writing — review and editing. </w:t>
      </w:r>
      <w:r>
        <w:rPr>
          <w:i/>
          <w:iCs/>
        </w:rPr>
        <w:t xml:space="preserve">Lisa DeBruine</w:t>
      </w:r>
      <w:r>
        <w:rPr>
          <w:b/>
          <w:bCs/>
        </w:rPr>
        <w:t xml:space="preserve">: </w:t>
      </w:r>
      <w:r>
        <w:t xml:space="preserve">conceptualization, methodology, investigation, formal analysis, data curation, and writing — review and editing</w:t>
      </w:r>
    </w:p>
    <w:p>
      <w:pPr>
        <w:pStyle w:val="BodyText"/>
      </w:pPr>
      <w:r>
        <w:t xml:space="preserve">Correspondence concerning this article should be addressed to Daniël Lakens, Industrial Engineering and Innovation Sciences, Eindhoven University of Technology, Den Dolech 2, 5600 MB, Eindhoven, Eindhoven, Email:</w:t>
      </w:r>
      <w:r>
        <w:t xml:space="preserve"> </w:t>
      </w:r>
      <w:hyperlink r:id="rId36">
        <w:r>
          <w:rPr>
            <w:rStyle w:val="Hyperlink"/>
          </w:rPr>
          <w:t xml:space="preserve">D.Lakens@tue.nl</w:t>
        </w:r>
      </w:hyperlink>
    </w:p>
    <w:p>
      <w:pPr>
        <w:pStyle w:val="BodyText"/>
      </w:pPr>
      <w:r>
        <w:rPr>
          <w:i/>
          <w:iCs/>
        </w:rPr>
        <w:t xml:space="preserve">Keywords</w:t>
      </w:r>
      <w:r>
        <w:t xml:space="preserve">: Peer Review, Quality Control, Automation, Power Analysis</w:t>
      </w:r>
    </w:p>
    <w:p>
      <w:r>
        <w:br w:type="page"/>
      </w:r>
    </w:p>
    <w:bookmarkEnd w:id="37"/>
    <w:bookmarkStart w:id="38" w:name="firstheader"/>
    <w:p>
      <w:pPr>
        <w:pStyle w:val="Heading1"/>
      </w:pPr>
      <w:r>
        <w:t xml:space="preserve">Toward standardized reporting of power analyses</w:t>
      </w:r>
    </w:p>
    <w:bookmarkEnd w:id="38"/>
    <w:bookmarkStart w:id="41" w:name="introduction"/>
    <w:p>
      <w:pPr>
        <w:pStyle w:val="Heading1"/>
      </w:pPr>
      <w:r>
        <w:t xml:space="preserve">Introduction</w:t>
      </w:r>
    </w:p>
    <w:p>
      <w:pPr>
        <w:pStyle w:val="FirstParagraph"/>
      </w:pPr>
      <w:r>
        <w:t xml:space="preserve">To design an informative study, researchers should collect a sufficient number of observations. The sample size should be justified with respect to the study’s inferential goal</w:t>
      </w:r>
      <w:r>
        <w:t xml:space="preserve"> </w:t>
      </w:r>
      <w:r>
        <w:t xml:space="preserve">(</w:t>
      </w:r>
      <w:hyperlink w:anchor="ref-lakens_justification_2022">
        <w:r>
          <w:rPr>
            <w:rStyle w:val="Hyperlink"/>
            <w:b/>
            <w:bCs/>
          </w:rPr>
          <w:t xml:space="preserve">lakens_justification_2022?</w:t>
        </w:r>
      </w:hyperlink>
      <w:r>
        <w:t xml:space="preserve">)</w:t>
      </w:r>
      <w:r>
        <w:t xml:space="preserve">. One approach is to conduct an a priori power analysis. When such analysis is performed, the report should include all parameters used to conduct it. This information should be complete, enabling editors, reviewers and readers with the ability to make informed judgments about the validity of the power analysis. Yet, a priori power analyses often omit important information</w:t>
      </w:r>
      <w:r>
        <w:t xml:space="preserve"> </w:t>
      </w:r>
      <w:r>
        <w:t xml:space="preserve">(</w:t>
      </w:r>
      <w:hyperlink w:anchor="ref-bakker_2020">
        <w:r>
          <w:rPr>
            <w:rStyle w:val="Hyperlink"/>
          </w:rPr>
          <w:t xml:space="preserve">Bakker et al., 2020</w:t>
        </w:r>
      </w:hyperlink>
      <w:r>
        <w:t xml:space="preserve">;</w:t>
      </w:r>
      <w:r>
        <w:t xml:space="preserve"> </w:t>
      </w:r>
      <w:hyperlink w:anchor="ref-thibault_2022">
        <w:r>
          <w:rPr>
            <w:rStyle w:val="Hyperlink"/>
          </w:rPr>
          <w:t xml:space="preserve">Thibault &amp; Pedder, 2022</w:t>
        </w:r>
      </w:hyperlink>
      <w:r>
        <w:t xml:space="preserve">;</w:t>
      </w:r>
      <w:r>
        <w:t xml:space="preserve"> </w:t>
      </w:r>
      <w:hyperlink w:anchor="ref-thibault_2024">
        <w:r>
          <w:rPr>
            <w:rStyle w:val="Hyperlink"/>
            <w:b/>
            <w:bCs/>
          </w:rPr>
          <w:t xml:space="preserve">thibault_2024?</w:t>
        </w:r>
      </w:hyperlink>
      <w:r>
        <w:t xml:space="preserve">)</w:t>
      </w:r>
      <w:r>
        <w:t xml:space="preserve">. This lack of transparency not only prevents peers’ from reproducing the power analysis, but also limits their ability to scrutinize the analytic decisions made by researchers. For example, a lack of transparency may prevent the detection of discrepancies between the statistical test specified in the a priori power and the focal statistical test used in the study</w:t>
      </w:r>
      <w:r>
        <w:t xml:space="preserve"> </w:t>
      </w:r>
      <w:r>
        <w:t xml:space="preserve">(</w:t>
      </w:r>
      <w:hyperlink w:anchor="ref-bakker_2020">
        <w:r>
          <w:rPr>
            <w:rStyle w:val="Hyperlink"/>
          </w:rPr>
          <w:t xml:space="preserve">Bakker et al., 2020</w:t>
        </w:r>
      </w:hyperlink>
      <w:r>
        <w:t xml:space="preserve">)</w:t>
      </w:r>
      <w:r>
        <w:t xml:space="preserve"> </w:t>
      </w:r>
      <w:r>
        <w:t xml:space="preserve">or between the effect size used in the power analysis and the effect of interest in a newly conducted study.</w:t>
      </w:r>
    </w:p>
    <w:p>
      <w:pPr>
        <w:pStyle w:val="BodyText"/>
      </w:pPr>
      <w:r>
        <w:t xml:space="preserve">To improve the transparency of power analyses, one possible solution is to use automated tools such as Metacheck. Metacheck is a modular tool that uses text search, code, and large language models to extract information from scientific texts and provide suggestions for improvement. One of its modules is the</w:t>
      </w:r>
      <w:r>
        <w:t xml:space="preserve"> </w:t>
      </w:r>
      <w:r>
        <w:rPr>
          <w:rStyle w:val="VerbatimChar"/>
        </w:rPr>
        <w:t xml:space="preserve">power</w:t>
      </w:r>
      <w:r>
        <w:t xml:space="preserve"> </w:t>
      </w:r>
      <w:r>
        <w:t xml:space="preserve">module, which is designed to identify power analyses and issue warnings when required information is missing or when a post hoc power analysis is performed.</w:t>
      </w:r>
    </w:p>
    <w:p>
      <w:pPr>
        <w:pStyle w:val="BodyText"/>
      </w:pPr>
      <w:r>
        <w:t xml:space="preserve">The</w:t>
      </w:r>
      <w:r>
        <w:t xml:space="preserve"> </w:t>
      </w:r>
      <w:r>
        <w:rPr>
          <w:rStyle w:val="VerbatimChar"/>
        </w:rPr>
        <w:t xml:space="preserve">power</w:t>
      </w:r>
      <w:r>
        <w:t xml:space="preserve"> </w:t>
      </w:r>
      <w:r>
        <w:t xml:space="preserve">module uses two complementary approaches. The first relies on pattern matching to identify the type of power analysis. For example, the presence of terms such as a priori, sensitivity or posthoc can be used to classify a power analysis and, when appropiate, issue a warning about the use of the posthoc power analysis. The second approach uses an optional LLM to classify a power analysis and extract the information reported about their parameters. The LLM-based approach is required because the reporting of power analyses is currently not standardized. By standardization we refer to the reporting of information in a consistent manner that reduces the degrees of freedom in how power analysis can be described. Authors may report the same information in different ways, resulting in substantial heterogeneity in how power analyses are reported. This lack of standardization limits the effectiveness of purely rule-based approaches and creates the need for more flexible approaches that can interpret variation in natural language. However, the use of an LLM does not eliminate the problems associated with ambiguous reporting. When a power analysis is described vaguely or incompletely, the LLM may also misclassify the analysis or incorrectly extract information from the text.</w:t>
      </w:r>
    </w:p>
    <w:p>
      <w:pPr>
        <w:pStyle w:val="BodyText"/>
      </w:pPr>
      <w:r>
        <w:t xml:space="preserve">One reason why power analyses might not contain all relevant information is the lack of specific reporting guidelines that editors, reviewers and researchers can follow. For example, the</w:t>
      </w:r>
      <w:r>
        <w:t xml:space="preserve"> </w:t>
      </w:r>
      <w:r>
        <w:rPr>
          <w:i/>
          <w:iCs/>
        </w:rPr>
        <w:t xml:space="preserve">Journal Article Reporting Standards</w:t>
      </w:r>
      <w:r>
        <w:t xml:space="preserve"> </w:t>
      </w:r>
      <w:r>
        <w:t xml:space="preserve">(JARS) developed by the American Psychological Association (APA) provides guidance on the information that should be reported in scientific articles</w:t>
      </w:r>
      <w:r>
        <w:t xml:space="preserve"> </w:t>
      </w:r>
      <w:r>
        <w:t xml:space="preserve">(</w:t>
      </w:r>
      <w:hyperlink w:anchor="ref-appelbaum_2018">
        <w:r>
          <w:rPr>
            <w:rStyle w:val="Hyperlink"/>
            <w:b/>
            <w:bCs/>
          </w:rPr>
          <w:t xml:space="preserve">appelbaum_2018?</w:t>
        </w:r>
      </w:hyperlink>
      <w:r>
        <w:t xml:space="preserve">)</w:t>
      </w:r>
      <w:r>
        <w:t xml:space="preserve">. With respect to the sample size, JARS recommends reporting information about the participants included in the study, missing cases, participants that did not complete the experiment or the number of participants included in the analysis. However, JARS provides no specific guidance on how power analyses should be reported. Developing reporting guidelines for power analyses is therefore an important step toward improving transparency.</w:t>
      </w:r>
    </w:p>
    <w:p>
      <w:pPr>
        <w:pStyle w:val="BodyText"/>
      </w:pPr>
      <w:r>
        <w:t xml:space="preserve">Reporting guidelines alone, however, may not be sufficient. Reporting guidelines primarily specify which information should be reported, but often leave the format of that information unspecified. Consequently, the same information can be reported in many different ways, making automated extraction and validation difficult. We therefore propose a standardized reporting framework that specifies both the information required to reproduce and evaluate a power analysis and a structured representation of that information. In this framework, reporting requirements define which information should be reported, whereas standardization defines how that information should be represented. For example, a reporting guideline may require researchers to report the effect size used in a power analysis, whereas a standardized representation would require the effect-size type and the magnitude to be reported as a distinct, consistently defined fiels.</w:t>
      </w:r>
    </w:p>
    <w:p>
      <w:pPr>
        <w:pStyle w:val="BodyText"/>
      </w:pPr>
      <w:r>
        <w:t xml:space="preserve">The structured representation can be encoded as a machine-readable JSON object and validated against a JSON Schema. The JSON Schema formally defines the fields that can be reported, the values that are permitted, and the relationships between fields. For example, it can require that a power analysis includes an analysis type, statistical test, sample size, significance level, power, effect size, effect-size justification, and software, while requiring additional test-specific parameters when relevant. This formal representation allows information extracted from a manuscript to be checked for completeness and validity. Automated tools can therefore extract information from scientific texts, map the extracted information onto a standardized structure, validate the resulting representation against the schema, identify missing or invalid fields, and provide standardized feedback to authors.</w:t>
      </w:r>
    </w:p>
    <w:p>
      <w:pPr>
        <w:pStyle w:val="BodyText"/>
      </w:pPr>
      <w:r>
        <w:t xml:space="preserve">A useful example is the standardized reporting of</w:t>
      </w:r>
      <w:r>
        <w:t xml:space="preserve"> </w:t>
      </w:r>
      <w:r>
        <w:rPr>
          <w:i/>
          <w:iCs/>
        </w:rPr>
        <w:t xml:space="preserve">F</w:t>
      </w:r>
      <w:r>
        <w:t xml:space="preserve">-tests and</w:t>
      </w:r>
      <w:r>
        <w:t xml:space="preserve"> </w:t>
      </w:r>
      <w:r>
        <w:rPr>
          <w:i/>
          <w:iCs/>
        </w:rPr>
        <w:t xml:space="preserve">t</w:t>
      </w:r>
      <w:r>
        <w:t xml:space="preserve">-tests following 7th APA reporting guidelines. Reporting these tests involves a consistent presentation of the test statistic, degrees of freedom,</w:t>
      </w:r>
      <w:r>
        <w:t xml:space="preserve"> </w:t>
      </w:r>
      <w:r>
        <w:rPr>
          <w:i/>
          <w:iCs/>
        </w:rPr>
        <w:t xml:space="preserve">p</w:t>
      </w:r>
      <w:r>
        <w:t xml:space="preserve">-value and effect size. For example, an</w:t>
      </w:r>
      <w:r>
        <w:t xml:space="preserve"> </w:t>
      </w:r>
      <w:r>
        <w:rPr>
          <w:i/>
          <w:iCs/>
        </w:rPr>
        <w:t xml:space="preserve">F</w:t>
      </w:r>
      <w:r>
        <w:t xml:space="preserve">-tests should be reported as</w:t>
      </w:r>
      <w:r>
        <w:t xml:space="preserve"> </w:t>
      </w:r>
      <w:r>
        <w:rPr>
          <w:i/>
          <w:iCs/>
        </w:rPr>
        <w:t xml:space="preserve">F</w:t>
      </w:r>
      <w:r>
        <w:t xml:space="preserve">(1, 3) = 3.23,</w:t>
      </w:r>
      <w:r>
        <w:t xml:space="preserve"> </w:t>
      </w:r>
      <w:r>
        <w:rPr>
          <w:i/>
          <w:iCs/>
        </w:rPr>
        <w:t xml:space="preserve">p</w:t>
      </w:r>
      <w:r>
        <w:t xml:space="preserve"> </w:t>
      </w:r>
      <w:r>
        <w:t xml:space="preserve">= 0.01,</w:t>
      </w:r>
      <w:r>
        <w:t xml:space="preserve"> </w:t>
      </w:r>
      <m:oMath>
        <m:sSubSup>
          <m:e>
            <m:r>
              <m:t>η</m:t>
            </m:r>
          </m:e>
          <m:sub>
            <m:r>
              <m:t>p</m:t>
            </m:r>
          </m:sub>
          <m:sup>
            <m:r>
              <m:t>2</m:t>
            </m:r>
          </m:sup>
        </m:sSubSup>
      </m:oMath>
      <w:r>
        <w:t xml:space="preserve"> </w:t>
      </w:r>
      <w:r>
        <w:t xml:space="preserve">= 0.12. Such standardization facilitates the extraction of statistical information and enables tools such as Statcheck to automatically recompute reported</w:t>
      </w:r>
      <w:r>
        <w:t xml:space="preserve"> </w:t>
      </w:r>
      <w:r>
        <w:rPr>
          <w:i/>
          <w:iCs/>
        </w:rPr>
        <w:t xml:space="preserve">p</w:t>
      </w:r>
      <w:r>
        <w:t xml:space="preserve">-values. Thus, standardization improves clarity and the automated processing of scientific articles. Standardized reporting can therefore improve the automated detection and identification of relevant information, potentially reducing both false positives and false negatives. It may also reduce reliance on LLM-based approaches by making it easier for rule-based approaches to classify and identify relevant information. Conversely, when information is reported inconsistently or ambiguously, the</w:t>
      </w:r>
      <w:r>
        <w:t xml:space="preserve"> </w:t>
      </w:r>
      <w:r>
        <w:rPr>
          <w:rStyle w:val="VerbatimChar"/>
        </w:rPr>
        <w:t xml:space="preserve">power</w:t>
      </w:r>
      <w:r>
        <w:t xml:space="preserve"> </w:t>
      </w:r>
      <w:r>
        <w:t xml:space="preserve">module may fail to detect information that is indeed reported, or an LLM may misclassify it because it is unclear.</w:t>
      </w:r>
    </w:p>
    <w:bookmarkStart w:id="40" w:name="workflow"/>
    <w:p>
      <w:pPr>
        <w:pStyle w:val="Heading2"/>
      </w:pPr>
      <w:r>
        <w:t xml:space="preserve">Workflow</w:t>
      </w:r>
    </w:p>
    <w:p>
      <w:pPr>
        <w:pStyle w:val="FirstParagraph"/>
      </w:pPr>
      <w:r>
        <w:t xml:space="preserve">The JSON schema can be complemented by automated extraction tools such as Metacheck. Metacheck can first identify sentences containing power analyses and extract the information reported in those sentences using rule-based methods and, when necessary, an LLM. The extracted information can then be mapped onto the fields defined in the JSON Schema. For example, information about the reported statistical test, sample size, α level, power, effect size, and effect-size justification can be assigned to their corresponding fields in the structured representation. The resulting JSON object can subsequently be validated against the schema. This creates a workflow in which Metacheck extracts and classifies information, whereas the schema defines the target structure against which the extracted information can be evaluated. When required fields are missing or extracted values do not conform to the schema, Metacheck can provide standardized feedback. The schema therefore provides a formal target for information extraction, while Metacheck provides the mechanism for applying the reporting standard to unstructured scientific text.</w:t>
      </w:r>
    </w:p>
    <w:p>
      <w:pPr>
        <w:pStyle w:val="SourceCode"/>
      </w:pPr>
      <w:r>
        <w:rPr>
          <w:rStyle w:val="VerbatimChar"/>
        </w:rPr>
        <w:t xml:space="preserve">Linking to librsvg 2.61.0</w:t>
      </w:r>
    </w:p>
    <w:p>
      <w:pPr>
        <w:pStyle w:val="FirstParagraph"/>
      </w:pPr>
      <w:hyperlink r:id="rId39">
        <w:r>
          <w:rPr>
            <w:rStyle w:val="Hyperlink"/>
          </w:rPr>
          <w:t xml:space="preserve">Workflow for extracting and validating power-analysis information.</w:t>
        </w:r>
      </w:hyperlink>
    </w:p>
    <w:p>
      <w:pPr>
        <w:pStyle w:val="BodyText"/>
      </w:pPr>
      <w:r>
        <w:t xml:space="preserve">We therefore propose a standardized reporting framework for power analyses that specifies both the information that should be reported and how that information should be represented. In the next section, we present reporting guidelines and a machine-readable schema designed to operationalize this framework. The guidelines specify the information required to reproduce and evaluate a power analysis, whereas the schema provides a formal structure for representing and validating that information.</w:t>
      </w:r>
    </w:p>
    <w:bookmarkEnd w:id="40"/>
    <w:bookmarkEnd w:id="41"/>
    <w:bookmarkStart w:id="50" w:name="minimum-information"/>
    <w:p>
      <w:pPr>
        <w:pStyle w:val="Heading1"/>
      </w:pPr>
      <w:r>
        <w:t xml:space="preserve">Minimum information</w:t>
      </w:r>
    </w:p>
    <w:bookmarkStart w:id="42" w:name="type-of-power-analysis"/>
    <w:p>
      <w:pPr>
        <w:pStyle w:val="Heading2"/>
      </w:pPr>
      <w:r>
        <w:t xml:space="preserve">Type of power analysis</w:t>
      </w:r>
    </w:p>
    <w:p>
      <w:pPr>
        <w:pStyle w:val="FirstParagraph"/>
      </w:pPr>
      <w:r>
        <w:t xml:space="preserve">G*Power distinguishes five types of power analyses: a priori, sensitivity, criterion, compromise, and post hoc power analyses. An a priori power analysis is conducted before data collection to estimate the sample size required to detect an effect of interest. A sensitivity power analysis determines the range of effect sizes that can be detected with a specified level of statistical power given the available sample size, statistical test, and significance level. A compromise power analysis determines the combination of statistical power and significance level that can be achieved given a specified sample size, effect size, and desired trade-off between power and alpha level. The analysis labelled post hoc in G*Power calculates the statistical power to detect an expected effect size given the sample size actually obtained. We refer to this analysis as power sensitivity to distinguish it from a post hoc power analysis based on the observed effect size. This distinction is important because post hoc power based on the observed effect size is generally uninformative [@yuan_2005], whereas power sensitivity can provide useful information when the expected effect size is specified independently of the observed data.</w:t>
      </w:r>
    </w:p>
    <w:bookmarkEnd w:id="42"/>
    <w:bookmarkStart w:id="44" w:name="statistical-test"/>
    <w:p>
      <w:pPr>
        <w:pStyle w:val="Heading2"/>
      </w:pPr>
      <w:r>
        <w:t xml:space="preserve">Statistical test</w:t>
      </w:r>
    </w:p>
    <w:p>
      <w:pPr>
        <w:pStyle w:val="FirstParagraph"/>
      </w:pPr>
      <w:r>
        <w:t xml:space="preserve">The power analysis should be conducted for the key statistical test, which is the statistical test used to answer the research question of interest. The report of the statistical test is especially important in studies that include several statistical tests as it adds clarity. If reported, peers can evaluate whether the statistical test used matches the key statistical test.</w:t>
      </w:r>
    </w:p>
    <w:bookmarkStart w:id="43" w:name="effect-size-metric"/>
    <w:p>
      <w:pPr>
        <w:pStyle w:val="Heading3"/>
      </w:pPr>
      <w:r>
        <w:t xml:space="preserve">Effect size metric</w:t>
      </w:r>
    </w:p>
    <w:p>
      <w:pPr>
        <w:pStyle w:val="FirstParagraph"/>
      </w:pPr>
      <w:r>
        <w:t xml:space="preserve">When researchers conduct an a priori power analysis the aim is to design a study that has adequate power to detect the effect size of interest. The effect size of interest corresponds to the difference between interventions or conditions that researchers consider practically, theoretically, or clinically relevant and, hence, of interest. As Senn</w:t>
      </w:r>
      <w:r>
        <w:t xml:space="preserve"> </w:t>
      </w:r>
      <w:r>
        <w:t xml:space="preserve">(</w:t>
      </w:r>
      <w:hyperlink w:anchor="ref-senn_2021">
        <w:r>
          <w:rPr>
            <w:rStyle w:val="Hyperlink"/>
            <w:b/>
            <w:bCs/>
          </w:rPr>
          <w:t xml:space="preserve">senn_2021?</w:t>
        </w:r>
      </w:hyperlink>
      <w:r>
        <w:t xml:space="preserve">)</w:t>
      </w:r>
      <w:r>
        <w:t xml:space="preserve"> </w:t>
      </w:r>
      <w:r>
        <w:t xml:space="preserve">argued, “the difference one would not like to miss”.</w:t>
      </w:r>
    </w:p>
    <w:bookmarkEnd w:id="43"/>
    <w:bookmarkEnd w:id="44"/>
    <w:bookmarkStart w:id="45" w:name="effect-size-magnitude"/>
    <w:p>
      <w:pPr>
        <w:pStyle w:val="Heading2"/>
      </w:pPr>
      <w:r>
        <w:t xml:space="preserve">Effect size magnitude</w:t>
      </w:r>
    </w:p>
    <w:bookmarkEnd w:id="45"/>
    <w:bookmarkStart w:id="46" w:name="effect-size-justification"/>
    <w:p>
      <w:pPr>
        <w:pStyle w:val="Heading2"/>
      </w:pPr>
      <w:r>
        <w:t xml:space="preserve">Effect Size Justification</w:t>
      </w:r>
    </w:p>
    <w:p>
      <w:pPr>
        <w:pStyle w:val="FirstParagraph"/>
      </w:pPr>
      <w:r>
        <w:t xml:space="preserve">Researchers may justify the effect size used in an </w:t>
      </w:r>
      <w:r>
        <w:rPr>
          <w:i/>
          <w:iCs/>
        </w:rPr>
        <w:t xml:space="preserve">a priori</w:t>
      </w:r>
      <w:r>
        <w:t xml:space="preserve"> power analysis in several ways. We distinguish six approaches: effect sizes from previous studies, meta-analyses, pilot studies, Cohen’s </w:t>
      </w:r>
      <w:r>
        <w:rPr>
          <w:i/>
          <w:iCs/>
        </w:rPr>
        <w:t xml:space="preserve">d</w:t>
      </w:r>
      <w:r>
        <w:t xml:space="preserve"> thresholds, field-specific benchmarks, and the smallest effect size of interest (SESOI).</w:t>
      </w:r>
    </w:p>
    <w:p>
      <w:pPr>
        <w:pStyle w:val="BodyText"/>
      </w:pPr>
      <w:r>
        <w:t xml:space="preserve">When effect sizes are derived from previous studies or meta-analyses, caution is warranted because these estimates may not correspond to the effect researchers aim to detect. Effect sizes from underpowered studies are often highly uncertain and may overestimate the true effect due to selection bias. Moreover, previous studies may differ from the planned study in important ways, including the population, study design, manipulation or intervention, and outcome measures. These contextual differences determine whether a previously reported effect is relevant to the new study. Meta-analyses aggregate results across studies to estimate a pooled effect size, but this estimate may also be inappropriate when the included studies differ substantially in design or exhibit considerable heterogeneity. pilot study and provide the corresponding reference or justification.</w:t>
      </w:r>
    </w:p>
    <w:p>
      <w:pPr>
        <w:pStyle w:val="BodyText"/>
      </w:pPr>
      <w:r>
        <w:t xml:space="preserve">Researchers may also rely on Cohen’s </w:t>
      </w:r>
      <w:r>
        <w:rPr>
          <w:i/>
          <w:iCs/>
        </w:rPr>
        <w:t xml:space="preserve">d</w:t>
      </w:r>
      <w:r>
        <w:t xml:space="preserve"> thresholds or field-specific benchmarks, such as conventions for small, medium, or large effects. However, this practice can be problematic because it ignores the research context from which an effect-size estimate derives. Factors such as the population, study design, manipulation or intervention, and outcome measure determine whether an effect size is plausible and relevant to a particular study. Consequently, choosing an effect size solely on the basis of Cohen’s </w:t>
      </w:r>
      <w:r>
        <w:rPr>
          <w:i/>
          <w:iCs/>
        </w:rPr>
        <w:t xml:space="preserve">d</w:t>
      </w:r>
      <w:r>
        <w:t xml:space="preserve"> thresholds or other field-specific benchmarks may overlook the contextual factors that determine whether the effect size is appropriate for the planned study [@primbs_2022].</w:t>
      </w:r>
    </w:p>
    <w:p>
      <w:pPr>
        <w:pStyle w:val="BodyText"/>
      </w:pPr>
      <w:r>
        <w:t xml:space="preserve">Finally, researchers may justify the effect size based on a smallest effect size of interest (SESOI), which defines the smallest effect that would be considered theoretically or practically meaningful for the research question.</w:t>
      </w:r>
    </w:p>
    <w:bookmarkEnd w:id="46"/>
    <w:bookmarkStart w:id="47" w:name="power-level"/>
    <w:p>
      <w:pPr>
        <w:pStyle w:val="Heading2"/>
      </w:pPr>
      <w:r>
        <w:t xml:space="preserve">Power level</w:t>
      </w:r>
    </w:p>
    <w:bookmarkEnd w:id="47"/>
    <w:bookmarkStart w:id="48" w:name="alpha-level"/>
    <w:p>
      <w:pPr>
        <w:pStyle w:val="Heading2"/>
      </w:pPr>
      <w:r>
        <w:t xml:space="preserve">Alpha level</w:t>
      </w:r>
    </w:p>
    <w:bookmarkEnd w:id="48"/>
    <w:bookmarkStart w:id="49" w:name="software"/>
    <w:p>
      <w:pPr>
        <w:pStyle w:val="Heading2"/>
      </w:pPr>
      <w:r>
        <w:t xml:space="preserve">Software</w:t>
      </w:r>
    </w:p>
    <w:bookmarkEnd w:id="49"/>
    <w:bookmarkEnd w:id="50"/>
    <w:bookmarkStart w:id="53" w:name="current-state-of-transparency"/>
    <w:p>
      <w:pPr>
        <w:pStyle w:val="Heading1"/>
      </w:pPr>
      <w:r>
        <w:t xml:space="preserve">Current state of transparency</w:t>
      </w:r>
    </w:p>
    <w:bookmarkStart w:id="51" w:name="rule-based-approach"/>
    <w:p>
      <w:pPr>
        <w:pStyle w:val="Heading2"/>
      </w:pPr>
      <w:r>
        <w:t xml:space="preserve">Rule-based approach</w:t>
      </w:r>
    </w:p>
    <w:bookmarkEnd w:id="51"/>
    <w:bookmarkStart w:id="52" w:name="llm-based-approach"/>
    <w:p>
      <w:pPr>
        <w:pStyle w:val="Heading2"/>
      </w:pPr>
      <w:r>
        <w:t xml:space="preserve">LLM-based approach</w:t>
      </w:r>
    </w:p>
    <w:bookmarkEnd w:id="52"/>
    <w:bookmarkEnd w:id="53"/>
    <w:bookmarkStart w:id="54" w:name="standardized-reporting"/>
    <w:p>
      <w:pPr>
        <w:pStyle w:val="Heading1"/>
      </w:pPr>
      <w:r>
        <w:t xml:space="preserve">Standardized reporting</w:t>
      </w:r>
    </w:p>
    <w:p>
      <w:pPr>
        <w:pStyle w:val="FirstParagraph"/>
      </w:pPr>
      <w:r>
        <w:t xml:space="preserve">Provide an example</w:t>
      </w:r>
    </w:p>
    <w:p>
      <w:pPr>
        <w:pStyle w:val="BodyText"/>
      </w:pPr>
      <w:r>
        <w:t xml:space="preserve">Two-sided unpaired t-test</w:t>
      </w:r>
    </w:p>
    <w:p>
      <w:pPr>
        <w:pStyle w:val="BodyText"/>
      </w:pPr>
      <w:r>
        <w:t xml:space="preserve">One-sided unpaired t-test</w:t>
      </w:r>
    </w:p>
    <w:p>
      <w:pPr>
        <w:pStyle w:val="BodyText"/>
      </w:pPr>
      <w:r>
        <w:t xml:space="preserve">One-way ANOVA</w:t>
      </w:r>
    </w:p>
    <w:bookmarkEnd w:id="54"/>
    <w:bookmarkStart w:id="55" w:name="schema"/>
    <w:p>
      <w:pPr>
        <w:pStyle w:val="Heading1"/>
      </w:pPr>
      <w:r>
        <w:t xml:space="preserve">Schema</w:t>
      </w:r>
    </w:p>
    <w:bookmarkEnd w:id="55"/>
    <w:p>
      <w:pPr>
        <w:pStyle w:val="Heading1"/>
      </w:pPr>
      <w:r>
        <w:t xml:space="preserve">References</w:t>
      </w:r>
    </w:p>
    <w:bookmarkStart w:id="60" w:name="refs"/>
    <w:bookmarkStart w:id="57" w:name="ref-bakker_2020"/>
    <w:p>
      <w:pPr>
        <w:pStyle w:val="Bibliography"/>
      </w:pPr>
      <w:r>
        <w:t xml:space="preserve">Bakker, M., Veldkamp, C. L. S., Van Den Akker, O. R., Van Assen, M. A. L. M., Crompvoets, E., Ong, H. H., &amp; Wicherts, J. M. (2020). Recommendations in pre-registrations and internal review board proposals promote formal power analyses but do not increase sample size.</w:t>
      </w:r>
      <w:r>
        <w:t xml:space="preserve"> </w:t>
      </w:r>
      <w:r>
        <w:rPr>
          <w:i/>
          <w:iCs/>
        </w:rPr>
        <w:t xml:space="preserve">PLOS ONE</w:t>
      </w:r>
      <w:r>
        <w:t xml:space="preserve">,</w:t>
      </w:r>
      <w:r>
        <w:t xml:space="preserve"> </w:t>
      </w:r>
      <w:r>
        <w:rPr>
          <w:i/>
          <w:iCs/>
        </w:rPr>
        <w:t xml:space="preserve">15</w:t>
      </w:r>
      <w:r>
        <w:t xml:space="preserve">(7), e0236079.</w:t>
      </w:r>
      <w:r>
        <w:t xml:space="preserve"> </w:t>
      </w:r>
      <w:hyperlink r:id="rId56">
        <w:r>
          <w:rPr>
            <w:rStyle w:val="Hyperlink"/>
          </w:rPr>
          <w:t xml:space="preserve">https://doi.org/10.1371/journal.pone.0236079</w:t>
        </w:r>
      </w:hyperlink>
    </w:p>
    <w:bookmarkEnd w:id="57"/>
    <w:bookmarkStart w:id="59" w:name="ref-thibault_2022"/>
    <w:p>
      <w:pPr>
        <w:pStyle w:val="Bibliography"/>
      </w:pPr>
      <w:r>
        <w:t xml:space="preserve">Thibault, R. T., &amp; Pedder, H. (2022). Excess significance and power miscalculations in neurofeedback research.</w:t>
      </w:r>
      <w:r>
        <w:t xml:space="preserve"> </w:t>
      </w:r>
      <w:r>
        <w:rPr>
          <w:i/>
          <w:iCs/>
        </w:rPr>
        <w:t xml:space="preserve">NeuroImage: Clinical</w:t>
      </w:r>
      <w:r>
        <w:t xml:space="preserve">,</w:t>
      </w:r>
      <w:r>
        <w:t xml:space="preserve"> </w:t>
      </w:r>
      <w:r>
        <w:rPr>
          <w:i/>
          <w:iCs/>
        </w:rPr>
        <w:t xml:space="preserve">35</w:t>
      </w:r>
      <w:r>
        <w:t xml:space="preserve">, 103008.</w:t>
      </w:r>
      <w:r>
        <w:t xml:space="preserve"> </w:t>
      </w:r>
      <w:hyperlink r:id="rId58">
        <w:r>
          <w:rPr>
            <w:rStyle w:val="Hyperlink"/>
          </w:rPr>
          <w:t xml:space="preserve">https://doi.org/10.1016/j.nicl.2022.103008</w:t>
        </w:r>
      </w:hyperlink>
    </w:p>
    <w:bookmarkEnd w:id="59"/>
    <w:bookmarkEnd w:id="60"/>
    <w:sectPr w:rsidR="007868AB" w:rsidRPr="005528BA">
      <w:headerReference r:id="rId8" w:type="even"/>
      <w:headerReference r:id="rId9" w:type="default"/>
      <w:footerReference r:id="rId10" w:type="even"/>
      <w:footerReference r:id="rId11" w:type="default"/>
      <w:headerReference r:id="rId12" w:type="first"/>
      <w:footerReference r:id="rId13"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32B9C"/>
    <w:rsid w:val="009638C5"/>
    <w:rsid w:val="009B29FD"/>
    <w:rsid w:val="009B41AF"/>
    <w:rsid w:val="00A072AF"/>
    <w:rsid w:val="00A16B10"/>
    <w:rsid w:val="00A46245"/>
    <w:rsid w:val="00A82821"/>
    <w:rsid w:val="00A946AC"/>
    <w:rsid w:val="00AC3115"/>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304F7"/>
    <w:rsid w:val="00C4693A"/>
    <w:rsid w:val="00C84525"/>
    <w:rsid w:val="00CA071F"/>
    <w:rsid w:val="00CB7758"/>
    <w:rsid w:val="00CE01EB"/>
    <w:rsid w:val="00D11429"/>
    <w:rsid w:val="00D630B7"/>
    <w:rsid w:val="00D807FA"/>
    <w:rsid w:val="00DA752F"/>
    <w:rsid w:val="00DB4D47"/>
    <w:rsid w:val="00DE772F"/>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qFormat/>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qFormat/>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qFormat/>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qFormat/>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Pr>
      <w:rFonts w:ascii="Consolas" w:hAnsi="Consolas"/>
      <w:i/>
      <w:sz w:val="22"/>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i/>
      <w:color w:val="003B4F"/>
      <w:sz w:val="22"/>
      <w:shd w:color="auto" w:fill="F1F3F5" w:val="clear"/>
    </w:rPr>
  </w:style>
  <w:style w:customStyle="1" w:styleId="DataTypeTok" w:type="character">
    <w:name w:val="DataTypeTok"/>
    <w:basedOn w:val="VerbatimChar"/>
    <w:rPr>
      <w:rFonts w:ascii="Consolas" w:hAnsi="Consolas"/>
      <w:i/>
      <w:color w:val="AD0000"/>
      <w:sz w:val="22"/>
      <w:shd w:color="auto" w:fill="F1F3F5" w:val="clear"/>
    </w:rPr>
  </w:style>
  <w:style w:customStyle="1" w:styleId="DecValTok" w:type="character">
    <w:name w:val="DecValTok"/>
    <w:basedOn w:val="VerbatimChar"/>
    <w:rPr>
      <w:rFonts w:ascii="Consolas" w:hAnsi="Consolas"/>
      <w:i/>
      <w:color w:val="AD0000"/>
      <w:sz w:val="22"/>
      <w:shd w:color="auto" w:fill="F1F3F5" w:val="clear"/>
    </w:rPr>
  </w:style>
  <w:style w:customStyle="1" w:styleId="BaseNTok" w:type="character">
    <w:name w:val="BaseNTok"/>
    <w:basedOn w:val="VerbatimChar"/>
    <w:rPr>
      <w:rFonts w:ascii="Consolas" w:hAnsi="Consolas"/>
      <w:i/>
      <w:color w:val="AD0000"/>
      <w:sz w:val="22"/>
      <w:shd w:color="auto" w:fill="F1F3F5" w:val="clear"/>
    </w:rPr>
  </w:style>
  <w:style w:customStyle="1" w:styleId="FloatTok" w:type="character">
    <w:name w:val="FloatTok"/>
    <w:basedOn w:val="VerbatimChar"/>
    <w:rPr>
      <w:rFonts w:ascii="Consolas" w:hAnsi="Consolas"/>
      <w:i/>
      <w:color w:val="AD0000"/>
      <w:sz w:val="22"/>
      <w:shd w:color="auto" w:fill="F1F3F5" w:val="clear"/>
    </w:rPr>
  </w:style>
  <w:style w:customStyle="1" w:styleId="ConstantTok" w:type="character">
    <w:name w:val="ConstantTok"/>
    <w:basedOn w:val="VerbatimChar"/>
    <w:rPr>
      <w:rFonts w:ascii="Consolas" w:hAnsi="Consolas"/>
      <w:i/>
      <w:color w:val="8F5902"/>
      <w:sz w:val="22"/>
      <w:shd w:color="auto" w:fill="F1F3F5" w:val="clear"/>
    </w:rPr>
  </w:style>
  <w:style w:customStyle="1" w:styleId="CharTok" w:type="character">
    <w:name w:val="CharTok"/>
    <w:basedOn w:val="VerbatimChar"/>
    <w:rPr>
      <w:rFonts w:ascii="Consolas" w:hAnsi="Consolas"/>
      <w:i/>
      <w:color w:val="20794D"/>
      <w:sz w:val="22"/>
      <w:shd w:color="auto" w:fill="F1F3F5" w:val="clear"/>
    </w:rPr>
  </w:style>
  <w:style w:customStyle="1" w:styleId="SpecialCharTok" w:type="character">
    <w:name w:val="SpecialCharTok"/>
    <w:basedOn w:val="VerbatimChar"/>
    <w:rPr>
      <w:rFonts w:ascii="Consolas" w:hAnsi="Consolas"/>
      <w:i/>
      <w:color w:val="5E5E5E"/>
      <w:sz w:val="22"/>
      <w:shd w:color="auto" w:fill="F1F3F5" w:val="clear"/>
    </w:rPr>
  </w:style>
  <w:style w:customStyle="1" w:styleId="StringTok" w:type="character">
    <w:name w:val="StringTok"/>
    <w:basedOn w:val="VerbatimChar"/>
    <w:rPr>
      <w:rFonts w:ascii="Consolas" w:hAnsi="Consolas"/>
      <w:i/>
      <w:color w:val="20794D"/>
      <w:sz w:val="22"/>
      <w:shd w:color="auto" w:fill="F1F3F5" w:val="clear"/>
    </w:rPr>
  </w:style>
  <w:style w:customStyle="1" w:styleId="VerbatimStringTok" w:type="character">
    <w:name w:val="VerbatimStringTok"/>
    <w:basedOn w:val="VerbatimChar"/>
    <w:rPr>
      <w:rFonts w:ascii="Consolas" w:hAnsi="Consolas"/>
      <w:i/>
      <w:color w:val="20794D"/>
      <w:sz w:val="22"/>
      <w:shd w:color="auto" w:fill="F1F3F5" w:val="clear"/>
    </w:rPr>
  </w:style>
  <w:style w:customStyle="1" w:styleId="SpecialStringTok" w:type="character">
    <w:name w:val="SpecialStringTok"/>
    <w:basedOn w:val="VerbatimChar"/>
    <w:rPr>
      <w:rFonts w:ascii="Consolas" w:hAnsi="Consolas"/>
      <w:i/>
      <w:color w:val="20794D"/>
      <w:sz w:val="22"/>
      <w:shd w:color="auto" w:fill="F1F3F5" w:val="clear"/>
    </w:rPr>
  </w:style>
  <w:style w:customStyle="1" w:styleId="ImportTok" w:type="character">
    <w:name w:val="ImportTok"/>
    <w:basedOn w:val="VerbatimChar"/>
    <w:rPr>
      <w:rFonts w:ascii="Consolas" w:hAnsi="Consolas"/>
      <w:i/>
      <w:color w:val="00769E"/>
      <w:sz w:val="22"/>
      <w:shd w:color="auto" w:fill="F1F3F5" w:val="clear"/>
    </w:rPr>
  </w:style>
  <w:style w:customStyle="1" w:styleId="CommentTok" w:type="character">
    <w:name w:val="CommentTok"/>
    <w:basedOn w:val="VerbatimChar"/>
    <w:rPr>
      <w:rFonts w:ascii="Consolas" w:hAnsi="Consolas"/>
      <w:i/>
      <w:color w:val="5E5E5E"/>
      <w:sz w:val="22"/>
      <w:shd w:color="auto" w:fill="F1F3F5" w:val="clear"/>
    </w:rPr>
  </w:style>
  <w:style w:customStyle="1" w:styleId="DocumentationTok" w:type="character">
    <w:name w:val="DocumentationTok"/>
    <w:basedOn w:val="VerbatimChar"/>
    <w:rPr>
      <w:rFonts w:ascii="Consolas" w:hAnsi="Consolas"/>
      <w:i w:val="0"/>
      <w:color w:val="5E5E5E"/>
      <w:sz w:val="22"/>
      <w:shd w:color="auto" w:fill="F1F3F5" w:val="clear"/>
    </w:rPr>
  </w:style>
  <w:style w:customStyle="1" w:styleId="AnnotationTok" w:type="character">
    <w:name w:val="AnnotationTok"/>
    <w:basedOn w:val="VerbatimChar"/>
    <w:rPr>
      <w:rFonts w:ascii="Consolas" w:hAnsi="Consolas"/>
      <w:i/>
      <w:color w:val="5E5E5E"/>
      <w:sz w:val="22"/>
      <w:shd w:color="auto" w:fill="F1F3F5" w:val="clear"/>
    </w:rPr>
  </w:style>
  <w:style w:customStyle="1" w:styleId="CommentVarTok" w:type="character">
    <w:name w:val="CommentVarTok"/>
    <w:basedOn w:val="VerbatimChar"/>
    <w:rPr>
      <w:rFonts w:ascii="Consolas" w:hAnsi="Consolas"/>
      <w:i w:val="0"/>
      <w:color w:val="5E5E5E"/>
      <w:sz w:val="22"/>
      <w:shd w:color="auto" w:fill="F1F3F5" w:val="clear"/>
    </w:rPr>
  </w:style>
  <w:style w:customStyle="1" w:styleId="OtherTok" w:type="character">
    <w:name w:val="OtherTok"/>
    <w:basedOn w:val="VerbatimChar"/>
    <w:rPr>
      <w:rFonts w:ascii="Consolas" w:hAnsi="Consolas"/>
      <w:i/>
      <w:color w:val="003B4F"/>
      <w:sz w:val="22"/>
      <w:shd w:color="auto" w:fill="F1F3F5" w:val="clear"/>
    </w:rPr>
  </w:style>
  <w:style w:customStyle="1" w:styleId="FunctionTok" w:type="character">
    <w:name w:val="FunctionTok"/>
    <w:basedOn w:val="VerbatimChar"/>
    <w:rPr>
      <w:rFonts w:ascii="Consolas" w:hAnsi="Consolas"/>
      <w:i/>
      <w:color w:val="4758AB"/>
      <w:sz w:val="22"/>
      <w:shd w:color="auto" w:fill="F1F3F5" w:val="clear"/>
    </w:rPr>
  </w:style>
  <w:style w:customStyle="1" w:styleId="VariableTok" w:type="character">
    <w:name w:val="VariableTok"/>
    <w:basedOn w:val="VerbatimChar"/>
    <w:rPr>
      <w:rFonts w:ascii="Consolas" w:hAnsi="Consolas"/>
      <w:i/>
      <w:color w:val="111111"/>
      <w:sz w:val="22"/>
      <w:shd w:color="auto" w:fill="F1F3F5" w:val="clear"/>
    </w:rPr>
  </w:style>
  <w:style w:customStyle="1" w:styleId="ControlFlowTok" w:type="character">
    <w:name w:val="ControlFlowTok"/>
    <w:basedOn w:val="VerbatimChar"/>
    <w:rPr>
      <w:rFonts w:ascii="Consolas" w:hAnsi="Consolas"/>
      <w:i/>
      <w:color w:val="003B4F"/>
      <w:sz w:val="22"/>
      <w:shd w:color="auto" w:fill="F1F3F5" w:val="clear"/>
    </w:rPr>
  </w:style>
  <w:style w:customStyle="1" w:styleId="OperatorTok" w:type="character">
    <w:name w:val="OperatorTok"/>
    <w:basedOn w:val="VerbatimChar"/>
    <w:rPr>
      <w:rFonts w:ascii="Consolas" w:hAnsi="Consolas"/>
      <w:i/>
      <w:color w:val="5E5E5E"/>
      <w:sz w:val="22"/>
      <w:shd w:color="auto" w:fill="F1F3F5" w:val="clear"/>
    </w:rPr>
  </w:style>
  <w:style w:customStyle="1" w:styleId="BuiltInTok" w:type="character">
    <w:name w:val="BuiltInTok"/>
    <w:basedOn w:val="VerbatimChar"/>
    <w:rPr>
      <w:rFonts w:ascii="Consolas" w:hAnsi="Consolas"/>
      <w:i/>
      <w:color w:val="003B4F"/>
      <w:sz w:val="22"/>
      <w:shd w:color="auto" w:fill="F1F3F5" w:val="clear"/>
    </w:rPr>
  </w:style>
  <w:style w:customStyle="1" w:styleId="ExtensionTok" w:type="character">
    <w:name w:val="ExtensionTok"/>
    <w:basedOn w:val="VerbatimChar"/>
    <w:rPr>
      <w:rFonts w:ascii="Consolas" w:hAnsi="Consolas"/>
      <w:i/>
      <w:color w:val="003B4F"/>
      <w:sz w:val="22"/>
      <w:shd w:color="auto" w:fill="F1F3F5" w:val="clear"/>
    </w:rPr>
  </w:style>
  <w:style w:customStyle="1" w:styleId="PreprocessorTok" w:type="character">
    <w:name w:val="PreprocessorTok"/>
    <w:basedOn w:val="VerbatimChar"/>
    <w:rPr>
      <w:rFonts w:ascii="Consolas" w:hAnsi="Consolas"/>
      <w:i/>
      <w:color w:val="AD0000"/>
      <w:sz w:val="22"/>
      <w:shd w:color="auto" w:fill="F1F3F5" w:val="clear"/>
    </w:rPr>
  </w:style>
  <w:style w:customStyle="1" w:styleId="AttributeTok" w:type="character">
    <w:name w:val="AttributeTok"/>
    <w:basedOn w:val="VerbatimChar"/>
    <w:rPr>
      <w:rFonts w:ascii="Consolas" w:hAnsi="Consolas"/>
      <w:i/>
      <w:color w:val="657422"/>
      <w:sz w:val="22"/>
      <w:shd w:color="auto" w:fill="F1F3F5" w:val="clear"/>
    </w:rPr>
  </w:style>
  <w:style w:customStyle="1" w:styleId="RegionMarkerTok" w:type="character">
    <w:name w:val="RegionMarkerTok"/>
    <w:basedOn w:val="VerbatimChar"/>
    <w:rPr>
      <w:rFonts w:ascii="Consolas" w:hAnsi="Consolas"/>
      <w:i/>
      <w:color w:val="003B4F"/>
      <w:sz w:val="22"/>
      <w:shd w:color="auto" w:fill="F1F3F5" w:val="clear"/>
    </w:rPr>
  </w:style>
  <w:style w:customStyle="1" w:styleId="InformationTok" w:type="character">
    <w:name w:val="InformationTok"/>
    <w:basedOn w:val="VerbatimChar"/>
    <w:rPr>
      <w:rFonts w:ascii="Consolas" w:hAnsi="Consolas"/>
      <w:i/>
      <w:color w:val="5E5E5E"/>
      <w:sz w:val="22"/>
      <w:shd w:color="auto" w:fill="F1F3F5" w:val="clear"/>
    </w:rPr>
  </w:style>
  <w:style w:customStyle="1" w:styleId="WarningTok" w:type="character">
    <w:name w:val="WarningTok"/>
    <w:basedOn w:val="VerbatimChar"/>
    <w:rPr>
      <w:rFonts w:ascii="Consolas" w:hAnsi="Consolas"/>
      <w:i w:val="0"/>
      <w:color w:val="5E5E5E"/>
      <w:sz w:val="22"/>
      <w:shd w:color="auto" w:fill="F1F3F5" w:val="clear"/>
    </w:rPr>
  </w:style>
  <w:style w:customStyle="1" w:styleId="AlertTok" w:type="character">
    <w:name w:val="AlertTok"/>
    <w:basedOn w:val="VerbatimChar"/>
    <w:rPr>
      <w:rFonts w:ascii="Consolas" w:hAnsi="Consolas"/>
      <w:i/>
      <w:color w:val="AD0000"/>
      <w:sz w:val="22"/>
      <w:shd w:color="auto" w:fill="F1F3F5" w:val="clear"/>
    </w:rPr>
  </w:style>
  <w:style w:customStyle="1" w:styleId="ErrorTok" w:type="character">
    <w:name w:val="ErrorTok"/>
    <w:basedOn w:val="VerbatimChar"/>
    <w:rPr>
      <w:rFonts w:ascii="Consolas" w:hAnsi="Consolas"/>
      <w:i/>
      <w:color w:val="AD0000"/>
      <w:sz w:val="22"/>
      <w:shd w:color="auto" w:fill="F1F3F5" w:val="clear"/>
    </w:rPr>
  </w:style>
  <w:style w:customStyle="1" w:styleId="NormalTok" w:type="character">
    <w:name w:val="NormalTok"/>
    <w:basedOn w:val="VerbatimChar"/>
    <w:rPr>
      <w:rFonts w:ascii="Consolas" w:hAnsi="Consolas"/>
      <w:i/>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8" Target="header1.xml" Type="http://schemas.openxmlformats.org/officeDocument/2006/relationships/header" /><Relationship Id="rId13" Target="footer3.xml" Type="http://schemas.openxmlformats.org/officeDocument/2006/relationships/footer" /><Relationship Id="rId12" Target="header3.xml" Type="http://schemas.openxmlformats.org/officeDocument/2006/relationships/header" /><Relationship Id="rId11" Target="footer2.xml" Type="http://schemas.openxmlformats.org/officeDocument/2006/relationships/footer" /><Relationship Id="rId10" Target="footer1.xml" Type="http://schemas.openxmlformats.org/officeDocument/2006/relationships/footer" /><Relationship Id="rId9" Target="header2.xml" Type="http://schemas.openxmlformats.org/officeDocument/2006/relationships/header" /><Relationship Type="http://schemas.openxmlformats.org/officeDocument/2006/relationships/image" Id="rId23" Target="media/rId23.svg" /><Relationship Type="http://schemas.openxmlformats.org/officeDocument/2006/relationships/hyperlink" Id="rId58" Target="https://doi.org/10.1016/j.nicl.2022.103008" TargetMode="External" /><Relationship Type="http://schemas.openxmlformats.org/officeDocument/2006/relationships/hyperlink" Id="rId56" Target="https://doi.org/10.1371/journal.pone.0236079" TargetMode="External" /><Relationship Type="http://schemas.openxmlformats.org/officeDocument/2006/relationships/hyperlink" Id="rId27" Target="https://orcid.org/0000-0002-1542-8355" TargetMode="External" /><Relationship Type="http://schemas.openxmlformats.org/officeDocument/2006/relationships/hyperlink" Id="rId35" Target="https://orcid.org/0000-0002-7523-5539" TargetMode="External" /><Relationship Type="http://schemas.openxmlformats.org/officeDocument/2006/relationships/hyperlink" Id="rId31" Target="https://orcid.org/0000-0002-8393-5316" TargetMode="External" /><Relationship Type="http://schemas.openxmlformats.org/officeDocument/2006/relationships/hyperlink" Id="rId36" Target="mailto:D.Lakens@tue.nl" TargetMode="External" /><Relationship Type="http://schemas.openxmlformats.org/officeDocument/2006/relationships/hyperlink" Id="rId39" Target="workflow.png" TargetMode="External" /></Relationships>
</file>

<file path=word/_rels/footnotes.xml.rels><?xml version="1.0" encoding="UTF-8"?><Relationships xmlns="http://schemas.openxmlformats.org/package/2006/relationships"><Relationship Type="http://schemas.openxmlformats.org/officeDocument/2006/relationships/hyperlink" Id="rId58" Target="https://doi.org/10.1016/j.nicl.2022.103008" TargetMode="External" /><Relationship Type="http://schemas.openxmlformats.org/officeDocument/2006/relationships/hyperlink" Id="rId56" Target="https://doi.org/10.1371/journal.pone.0236079" TargetMode="External" /><Relationship Type="http://schemas.openxmlformats.org/officeDocument/2006/relationships/hyperlink" Id="rId27" Target="https://orcid.org/0000-0002-1542-8355" TargetMode="External" /><Relationship Type="http://schemas.openxmlformats.org/officeDocument/2006/relationships/hyperlink" Id="rId35" Target="https://orcid.org/0000-0002-7523-5539" TargetMode="External" /><Relationship Type="http://schemas.openxmlformats.org/officeDocument/2006/relationships/hyperlink" Id="rId31" Target="https://orcid.org/0000-0002-8393-5316" TargetMode="External" /><Relationship Type="http://schemas.openxmlformats.org/officeDocument/2006/relationships/hyperlink" Id="rId36" Target="mailto:D.Lakens@tue.nl" TargetMode="External" /><Relationship Type="http://schemas.openxmlformats.org/officeDocument/2006/relationships/hyperlink" Id="rId39" Target="workflow.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TOWARD STANDARDIZED REPORTING OF POWER ANALYSES</dc:description>
  <cp:keywords>Peer Review, Quality Control, Automation, Power Analysis</cp:keywords>
  <dcterms:created xsi:type="dcterms:W3CDTF">2026-07-23T11:57:05Z</dcterms:created>
  <dcterms:modified xsi:type="dcterms:W3CDTF">2026-07-23T11:57:05Z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ffiliationsdifferent">
    <vt:lpwstr>True</vt:lpwstr>
  </property>
  <property fmtid="{D5CDD505-2E9C-101B-9397-08002B2CF9AE}" pid="4" name="apaauthor">
    <vt:lpwstr/>
  </property>
  <property fmtid="{D5CDD505-2E9C-101B-9397-08002B2CF9AE}" pid="5" name="apatitle">
    <vt:lpwstr>TOWARD STANDARDIZED REPORTING OF POWER ANALYSES</vt:lpwstr>
  </property>
  <property fmtid="{D5CDD505-2E9C-101B-9397-08002B2CF9AE}" pid="6" name="apatitledisplay">
    <vt:lpwstr>Toward standardized reporting of power analyses</vt:lpwstr>
  </property>
  <property fmtid="{D5CDD505-2E9C-101B-9397-08002B2CF9AE}" pid="7" name="author-note">
    <vt:lpwstr/>
  </property>
  <property fmtid="{D5CDD505-2E9C-101B-9397-08002B2CF9AE}" pid="8" name="authors">
    <vt:lpwstr/>
  </property>
  <property fmtid="{D5CDD505-2E9C-101B-9397-08002B2CF9AE}" pid="9" name="biblio-config">
    <vt:lpwstr>True</vt:lpwstr>
  </property>
  <property fmtid="{D5CDD505-2E9C-101B-9397-08002B2CF9AE}" pid="10" name="by-affiliation">
    <vt:lpwstr/>
  </property>
  <property fmtid="{D5CDD505-2E9C-101B-9397-08002B2CF9AE}" pid="11" name="by-author">
    <vt:lpwstr/>
  </property>
  <property fmtid="{D5CDD505-2E9C-101B-9397-08002B2CF9AE}" pid="12" name="cap-location">
    <vt:lpwstr>top</vt:lpwstr>
  </property>
  <property fmtid="{D5CDD505-2E9C-101B-9397-08002B2CF9AE}" pid="13" name="crossref">
    <vt:lpwstr/>
  </property>
  <property fmtid="{D5CDD505-2E9C-101B-9397-08002B2CF9AE}" pid="14" name="csl">
    <vt:lpwstr>_extensions/wjschne/apaquarto/apa.csl</vt:lpwstr>
  </property>
  <property fmtid="{D5CDD505-2E9C-101B-9397-08002B2CF9AE}" pid="15" name="documentmode">
    <vt:lpwstr>man</vt:lpwstr>
  </property>
  <property fmtid="{D5CDD505-2E9C-101B-9397-08002B2CF9AE}" pid="16" name="engines">
    <vt:lpwstr/>
  </property>
  <property fmtid="{D5CDD505-2E9C-101B-9397-08002B2CF9AE}" pid="17" name="fig-cap-location">
    <vt:lpwstr>top</vt:lpwstr>
  </property>
  <property fmtid="{D5CDD505-2E9C-101B-9397-08002B2CF9AE}" pid="18" name="floatsintext">
    <vt:lpwstr>True</vt:lpwstr>
  </property>
  <property fmtid="{D5CDD505-2E9C-101B-9397-08002B2CF9AE}" pid="19" name="header-includes">
    <vt:lpwstr/>
  </property>
  <property fmtid="{D5CDD505-2E9C-101B-9397-08002B2CF9AE}" pid="20" name="include-after">
    <vt:lpwstr/>
  </property>
  <property fmtid="{D5CDD505-2E9C-101B-9397-08002B2CF9AE}" pid="21" name="include-before">
    <vt:lpwstr/>
  </property>
  <property fmtid="{D5CDD505-2E9C-101B-9397-08002B2CF9AE}" pid="22" name="knitr">
    <vt:lpwstr/>
  </property>
  <property fmtid="{D5CDD505-2E9C-101B-9397-08002B2CF9AE}" pid="23" name="labels">
    <vt:lpwstr/>
  </property>
  <property fmtid="{D5CDD505-2E9C-101B-9397-08002B2CF9AE}" pid="24" name="language">
    <vt:lpwstr/>
  </property>
  <property fmtid="{D5CDD505-2E9C-101B-9397-08002B2CF9AE}" pid="25" name="link-citations">
    <vt:lpwstr>True</vt:lpwstr>
  </property>
  <property fmtid="{D5CDD505-2E9C-101B-9397-08002B2CF9AE}" pid="26" name="no-ampersand-parenthetical">
    <vt:lpwstr>False</vt:lpwstr>
  </property>
  <property fmtid="{D5CDD505-2E9C-101B-9397-08002B2CF9AE}" pid="27" name="number-depth">
    <vt:lpwstr>3</vt:lpwstr>
  </property>
  <property fmtid="{D5CDD505-2E9C-101B-9397-08002B2CF9AE}" pid="28" name="numbersections">
    <vt:lpwstr>False</vt:lpwstr>
  </property>
  <property fmtid="{D5CDD505-2E9C-101B-9397-08002B2CF9AE}" pid="29" name="oneaffiliation">
    <vt:lpwstr>False</vt:lpwstr>
  </property>
  <property fmtid="{D5CDD505-2E9C-101B-9397-08002B2CF9AE}" pid="30" name="oneauthor">
    <vt:lpwstr>False</vt:lpwstr>
  </property>
  <property fmtid="{D5CDD505-2E9C-101B-9397-08002B2CF9AE}" pid="31" name="references">
    <vt:lpwstr/>
  </property>
  <property fmtid="{D5CDD505-2E9C-101B-9397-08002B2CF9AE}" pid="32" name="revealjs-plugins">
    <vt:lpwstr/>
  </property>
  <property fmtid="{D5CDD505-2E9C-101B-9397-08002B2CF9AE}" pid="33" name="suppress-abstract">
    <vt:lpwstr>False</vt:lpwstr>
  </property>
  <property fmtid="{D5CDD505-2E9C-101B-9397-08002B2CF9AE}" pid="34" name="suppress-affiliation">
    <vt:lpwstr>False</vt:lpwstr>
  </property>
  <property fmtid="{D5CDD505-2E9C-101B-9397-08002B2CF9AE}" pid="35" name="suppress-author">
    <vt:lpwstr>False</vt:lpwstr>
  </property>
  <property fmtid="{D5CDD505-2E9C-101B-9397-08002B2CF9AE}" pid="36" name="suppress-author-note">
    <vt:lpwstr>False</vt:lpwstr>
  </property>
  <property fmtid="{D5CDD505-2E9C-101B-9397-08002B2CF9AE}" pid="37" name="suppress-corresponding-address">
    <vt:lpwstr>False</vt:lpwstr>
  </property>
  <property fmtid="{D5CDD505-2E9C-101B-9397-08002B2CF9AE}" pid="38" name="suppress-corresponding-affiliation-name">
    <vt:lpwstr>False</vt:lpwstr>
  </property>
  <property fmtid="{D5CDD505-2E9C-101B-9397-08002B2CF9AE}" pid="39" name="suppress-corresponding-city">
    <vt:lpwstr>False</vt:lpwstr>
  </property>
  <property fmtid="{D5CDD505-2E9C-101B-9397-08002B2CF9AE}" pid="40" name="suppress-corresponding-department">
    <vt:lpwstr>False</vt:lpwstr>
  </property>
  <property fmtid="{D5CDD505-2E9C-101B-9397-08002B2CF9AE}" pid="41" name="suppress-corresponding-email">
    <vt:lpwstr>False</vt:lpwstr>
  </property>
  <property fmtid="{D5CDD505-2E9C-101B-9397-08002B2CF9AE}" pid="42" name="suppress-corresponding-group">
    <vt:lpwstr>False</vt:lpwstr>
  </property>
  <property fmtid="{D5CDD505-2E9C-101B-9397-08002B2CF9AE}" pid="43" name="suppress-corresponding-paragraph">
    <vt:lpwstr>False</vt:lpwstr>
  </property>
  <property fmtid="{D5CDD505-2E9C-101B-9397-08002B2CF9AE}" pid="44" name="suppress-corresponding-postal-code">
    <vt:lpwstr>False</vt:lpwstr>
  </property>
  <property fmtid="{D5CDD505-2E9C-101B-9397-08002B2CF9AE}" pid="45" name="suppress-corresponding-region">
    <vt:lpwstr>False</vt:lpwstr>
  </property>
  <property fmtid="{D5CDD505-2E9C-101B-9397-08002B2CF9AE}" pid="46" name="suppress-credit-statement">
    <vt:lpwstr>False</vt:lpwstr>
  </property>
  <property fmtid="{D5CDD505-2E9C-101B-9397-08002B2CF9AE}" pid="47" name="suppress-disclosures-paragraph">
    <vt:lpwstr>False</vt:lpwstr>
  </property>
  <property fmtid="{D5CDD505-2E9C-101B-9397-08002B2CF9AE}" pid="48" name="suppress-impact-statement">
    <vt:lpwstr>False</vt:lpwstr>
  </property>
  <property fmtid="{D5CDD505-2E9C-101B-9397-08002B2CF9AE}" pid="49" name="suppress-keywords">
    <vt:lpwstr>False</vt:lpwstr>
  </property>
  <property fmtid="{D5CDD505-2E9C-101B-9397-08002B2CF9AE}" pid="50" name="suppress-orcid">
    <vt:lpwstr>False</vt:lpwstr>
  </property>
  <property fmtid="{D5CDD505-2E9C-101B-9397-08002B2CF9AE}" pid="51" name="suppress-short-title">
    <vt:lpwstr>False</vt:lpwstr>
  </property>
  <property fmtid="{D5CDD505-2E9C-101B-9397-08002B2CF9AE}" pid="52" name="suppress-status-change-paragraph">
    <vt:lpwstr>False</vt:lpwstr>
  </property>
  <property fmtid="{D5CDD505-2E9C-101B-9397-08002B2CF9AE}" pid="53" name="suppress-title">
    <vt:lpwstr>False</vt:lpwstr>
  </property>
  <property fmtid="{D5CDD505-2E9C-101B-9397-08002B2CF9AE}" pid="54" name="suppress-title-introduction">
    <vt:lpwstr>False</vt:lpwstr>
  </property>
  <property fmtid="{D5CDD505-2E9C-101B-9397-08002B2CF9AE}" pid="55" name="suppress-title-page">
    <vt:lpwstr>False</vt:lpwstr>
  </property>
  <property fmtid="{D5CDD505-2E9C-101B-9397-08002B2CF9AE}" pid="56" name="suppress-title-page-number">
    <vt:lpwstr>False</vt:lpwstr>
  </property>
  <property fmtid="{D5CDD505-2E9C-101B-9397-08002B2CF9AE}" pid="57" name="tbl-cap-location">
    <vt:lpwstr>top</vt:lpwstr>
  </property>
  <property fmtid="{D5CDD505-2E9C-101B-9397-08002B2CF9AE}" pid="58" name="toc-title">
    <vt:lpwstr>Table of contents</vt:lpwstr>
  </property>
  <property fmtid="{D5CDD505-2E9C-101B-9397-08002B2CF9AE}" pid="59" name="wordn">
    <vt:lpwstr>1850</vt:lpwstr>
  </property>
  <property fmtid="{D5CDD505-2E9C-101B-9397-08002B2CF9AE}" pid="60" name="zerocitations">
    <vt:lpwstr>False</vt:lpwstr>
  </property>
</Properties>
</file>