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NEED project</w:t>
      </w:r>
    </w:p>
    <w:p>
      <w:pPr>
        <w:pStyle w:val="Sous-titre"/>
      </w:pPr>
      <w:r>
        <w:t xml:space="preserve">Sub-analyses</w:t>
      </w:r>
    </w:p>
    <w:p>
      <w:pPr>
        <w:pStyle w:val="Author"/>
      </w:pPr>
      <w:r>
        <w:t xml:space="preserve">Alexandre Bohyn</w:t>
      </w:r>
    </w:p>
    <w:bookmarkStart w:id="20" w:name="table-of-content"/>
    <w:p>
      <w:pPr>
        <w:pStyle w:val="Titre1"/>
      </w:pPr>
      <w:r>
        <w:t xml:space="preserve">Table of content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a7166bfc-0379-4c4e-b02d-b38f538f875e" w:name="tbl-patient-characteristics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a7166bfc-0379-4c4e-b02d-b38f538f875e"/>
      <w:r>
        <w:rPr>
          <w:rFonts/>
          <w:b w:val="true"/>
          <w:strike w:val="false"/>
        </w:rPr>
        <w:t xml:space="preserve">: </w:t>
      </w:r>
      <w:r>
        <w:t xml:space="preserve">Patient characteristics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465"/>
        <w:gridCol w:w="1426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(44%)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(56%)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(39%)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(61%)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(34%)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(66%)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(91%)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(3.8%)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(56%)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(28%)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(48%)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(52%)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(73%)</w:t>
            </w:r>
          </w:p>
        </w:tc>
      </w:tr>
      <w:tr>
        <w:trPr>
          <w:trHeight w:val="614" w:hRule="auto"/>
        </w:trPr>
        body26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r>
        <w:br w:type="page"/>
      </w:r>
    </w:p>
    <w:bookmarkEnd w:id="20"/>
    <w:bookmarkStart w:id="34" w:name="health"/>
    <w:p>
      <w:pPr>
        <w:pStyle w:val="Titre1"/>
      </w:pPr>
      <w:r>
        <w:t xml:space="preserve">Health</w:t>
      </w:r>
    </w:p>
    <w:bookmarkStart w:id="21" w:name="X0a706563e270d77b5b9c65ce61fe00ae2aab1ad"/>
    <w:p>
      <w:pPr>
        <w:pStyle w:val="Titre2"/>
      </w:pPr>
      <w:r>
        <w:t xml:space="preserve">General health-related quality of life (HRQoL)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9cc7443-a133-412b-9ab6-2c8fe5350473" w:name="tbl-hrqol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9cc7443-a133-412b-9ab6-2c8fe5350473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-13.7 (28.3)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-14.9 (23.2)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-15.0 (-30.0,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938407f-5fdf-4a9b-bfbb-96338fd8e7fe" w:name="tbl-hrqol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938407f-5fdf-4a9b-bfbb-96338fd8e7fe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-13.6 (23.9)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-13.3 (25.5)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-15.0 (-24.0,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-10.0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bf50d63-1ad0-4558-b916-df3511297997" w:name="tbl-hrqol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bf50d63-1ad0-4558-b916-df3511297997"/>
      <w:r>
        <w:rPr>
          <w:rFonts/>
          <w:b w:val="true"/>
          <w:strike w:val="false"/>
        </w:rPr>
        <w:t xml:space="preserve">: </w:t>
      </w:r>
      <w:r>
        <w:t xml:space="preserve">Difference EQ-5D before onset of the symptoms vs today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 health score difference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-41.4 (24.0)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-12.9 (25.0)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-8.3 (12.1)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-52.5 (-60.0, -23.0)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 (-30.0,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-10.0 (-20.0,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-60.0, 0.0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-80.0, 60.0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bookmarkEnd w:id="21"/>
    <w:bookmarkStart w:id="24" w:name="physical-health"/>
    <w:p>
      <w:pPr>
        <w:pStyle w:val="Titre2"/>
      </w:pPr>
      <w:r>
        <w:t xml:space="preserve">Physical health</w:t>
      </w:r>
    </w:p>
    <w:bookmarkStart w:id="22" w:name="burden-of-physical-symptoms"/>
    <w:p>
      <w:pPr>
        <w:pStyle w:val="Titre3"/>
      </w:pPr>
      <w:r>
        <w:t xml:space="preserve">Burden of physical symptoms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a3c5e31-a6f5-4a9c-9bb3-738d48c9b756" w:name="tbl-burden-phys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a3c5e31-a6f5-4a9c-9bb3-738d48c9b756"/>
      <w:r>
        <w:rPr>
          <w:rFonts/>
          <w:b w:val="true"/>
          <w:strike w:val="false"/>
        </w:rPr>
        <w:t xml:space="preserve">: </w:t>
      </w:r>
      <w:r>
        <w:t xml:space="preserve">Burden of physical symptoms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Prise de poids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Dysfonction sexuelle (p.ex. baisse de la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Problèmes de mémoire ou "brouillard mental"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Emoussement affectif (manque de motivation, manque d'intérêt)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Taux élevé de cholestérol (excès de graisses sanguines)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difficulté à rester immobile, besoin de bouger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ou somnolence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Naussées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Contractions musculaires involontaires et parfois douloureuses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Sécheresse de la bouche ou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Tremblements et/ou rigidité faciale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Hyperglycémie (taux de sucre élevé) ou diabete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Vertiges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Mouvements involontaires du visage, comme mâchonner, tirer la langue ou clinger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globules blancs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9d86ebd-32f2-46fb-a5ba-28a23138aa6f" w:name="tbl-burden-phys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9d86ebd-32f2-46fb-a5ba-28a23138aa6f"/>
      <w:r>
        <w:rPr>
          <w:rFonts/>
          <w:b w:val="true"/>
          <w:strike w:val="false"/>
        </w:rPr>
        <w:t xml:space="preserve">: </w:t>
      </w:r>
      <w:r>
        <w:t xml:space="preserve">Burden of physical symptoms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Prise de poids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Dysfonction sexuelle (p.ex. baisse de la libido)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Problèmes de mémoire ou "brouillard mental"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Emoussement affectif (manque de motivation, manque d'intérêt)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Taux élevé de cholestérol (excès de graisses sanguines)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difficulté à rester immobile, besoin de bouger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ou somnolence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Naussées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Contractions musculaires involontaires et parfois douloureuses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Sécheresse de la bouche ou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Tremblements et/ou rigidité faciale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Hyperglycémie (taux de sucre élevé) ou diabete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Vertiges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Mouvements involontaires du visage, comme mâchonner, tirer la langue ou clinger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(2,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globules blancs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2"/>
    <w:bookmarkStart w:id="23" w:name="paindiscomfort"/>
    <w:p>
      <w:pPr>
        <w:pStyle w:val="Titre3"/>
      </w:pPr>
      <w:r>
        <w:t xml:space="preserve">Pain/discomfort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ea569c4-b324-47b7-8071-2d59342a518d" w:name="tbl-pain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ea569c4-b324-47b7-8071-2d59342a518d"/>
      <w:r>
        <w:rPr>
          <w:rFonts/>
          <w:b w:val="true"/>
          <w:strike w:val="false"/>
        </w:rPr>
        <w:t xml:space="preserve">: </w:t>
      </w:r>
      <w:r>
        <w:t xml:space="preserve">Pain/discomfort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Pain/discomfort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3"/>
    <w:bookmarkEnd w:id="24"/>
    <w:bookmarkStart w:id="27" w:name="psychological-health"/>
    <w:p>
      <w:pPr>
        <w:pStyle w:val="Titre2"/>
      </w:pPr>
      <w:r>
        <w:t xml:space="preserve">Psychological health</w:t>
      </w:r>
    </w:p>
    <w:bookmarkStart w:id="25" w:name="burden-of-psychological-symptoms"/>
    <w:p>
      <w:pPr>
        <w:pStyle w:val="Titre3"/>
      </w:pPr>
      <w:r>
        <w:t xml:space="preserve">Burden of psychological symptoms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76d1a9a-adfc-4695-b806-859022845d43" w:name="tbl-burden-psych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76d1a9a-adfc-4695-b806-859022845d43"/>
      <w:r>
        <w:rPr>
          <w:rFonts/>
          <w:b w:val="true"/>
          <w:strike w:val="false"/>
        </w:rPr>
        <w:t xml:space="preserve">: </w:t>
      </w:r>
      <w:r>
        <w:t xml:space="preserve">Burden of psychological symptoms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734376e-df0a-4a66-b717-34a13222c6b2" w:name="tbl-burden-psych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734376e-df0a-4a66-b717-34a13222c6b2"/>
      <w:r>
        <w:rPr>
          <w:rFonts/>
          <w:b w:val="true"/>
          <w:strike w:val="false"/>
        </w:rPr>
        <w:t xml:space="preserve">: </w:t>
      </w:r>
      <w:r>
        <w:t xml:space="preserve">Burden of psychological symptoms by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(2.0,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Inf, -Inf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H13_SQ022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 (5.0,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body90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bookmarkEnd w:id="25"/>
    <w:bookmarkStart w:id="26" w:name="anxietydepression"/>
    <w:p>
      <w:pPr>
        <w:pStyle w:val="Titre3"/>
      </w:pPr>
      <w:r>
        <w:t xml:space="preserve">Anxiety/depression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15bc58e-80f7-43d7-a7a9-13969f872fb1" w:name="tbl-anxiety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15bc58e-80f7-43d7-a7a9-13969f872fb1"/>
      <w:r>
        <w:rPr>
          <w:rFonts/>
          <w:b w:val="true"/>
          <w:strike w:val="false"/>
        </w:rPr>
        <w:t xml:space="preserve">: </w:t>
      </w:r>
      <w:r>
        <w:t xml:space="preserve">Anxiety/depression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Anxiety/depression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6"/>
    <w:bookmarkEnd w:id="27"/>
    <w:bookmarkStart w:id="31" w:name="autonomy"/>
    <w:p>
      <w:pPr>
        <w:pStyle w:val="Titre2"/>
      </w:pPr>
      <w:r>
        <w:t xml:space="preserve">Autonomy</w:t>
      </w:r>
    </w:p>
    <w:bookmarkStart w:id="28" w:name="mobility"/>
    <w:p>
      <w:pPr>
        <w:pStyle w:val="Titre3"/>
      </w:pPr>
      <w:r>
        <w:t xml:space="preserve">Mobility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dcda0aca-a3d2-4695-90bf-6271f833cb01" w:name="tbl-mobility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dcda0aca-a3d2-4695-90bf-6271f833cb01"/>
      <w:r>
        <w:rPr>
          <w:rFonts/>
          <w:b w:val="true"/>
          <w:strike w:val="false"/>
        </w:rPr>
        <w:t xml:space="preserve">: </w:t>
      </w:r>
      <w:r>
        <w:t xml:space="preserve">Mobility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Mobility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8"/>
    <w:bookmarkStart w:id="29" w:name="self-care"/>
    <w:p>
      <w:pPr>
        <w:pStyle w:val="Titre3"/>
      </w:pPr>
      <w:r>
        <w:t xml:space="preserve">Self-care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dedf802-6760-4826-af63-5bd8cdbccc49" w:name="tbl-self-care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dedf802-6760-4826-af63-5bd8cdbccc49"/>
      <w:r>
        <w:rPr>
          <w:rFonts/>
          <w:b w:val="true"/>
          <w:strike w:val="false"/>
        </w:rPr>
        <w:t xml:space="preserve">: </w:t>
      </w:r>
      <w:r>
        <w:t xml:space="preserve">Self-care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29"/>
    <w:bookmarkStart w:id="30" w:name="usual-activities"/>
    <w:p>
      <w:pPr>
        <w:pStyle w:val="Titre3"/>
      </w:pPr>
      <w:r>
        <w:t xml:space="preserve">Usual activities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0b05dde5-3504-4325-87e3-4e03b156b8eb" w:name="tbl-usual-activities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0b05dde5-3504-4325-87e3-4e03b156b8eb"/>
      <w:r>
        <w:rPr>
          <w:rFonts/>
          <w:b w:val="true"/>
          <w:strike w:val="false"/>
        </w:rPr>
        <w:t xml:space="preserve">: </w:t>
      </w:r>
      <w:r>
        <w:t xml:space="preserve">Usual activities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 activities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0.0, 5.0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0"/>
    <w:bookmarkEnd w:id="31"/>
    <w:bookmarkStart w:id="32" w:name="reproductive-health"/>
    <w:p>
      <w:pPr>
        <w:pStyle w:val="Titre2"/>
      </w:pPr>
      <w:r>
        <w:t xml:space="preserve">Reproductive health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3f70d410-2cee-424f-90de-2bf08947e572" w:name="tbl-reproductive-health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3f70d410-2cee-424f-90de-2bf08947e572"/>
      <w:r>
        <w:rPr>
          <w:rFonts/>
          <w:b w:val="true"/>
          <w:strike w:val="false"/>
        </w:rPr>
        <w:t xml:space="preserve">: </w:t>
      </w:r>
      <w:r>
        <w:t xml:space="preserve">Reproductive health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Reproductive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(0.0,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2"/>
    <w:bookmarkStart w:id="33" w:name="sexual-health"/>
    <w:p>
      <w:pPr>
        <w:pStyle w:val="Titre2"/>
      </w:pPr>
      <w:r>
        <w:t xml:space="preserve">Sexual health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471e258-12e3-486a-a483-065181a93fcd" w:name="tbl-sexual-health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471e258-12e3-486a-a483-065181a93fcd"/>
      <w:r>
        <w:rPr>
          <w:rFonts/>
          <w:b w:val="true"/>
          <w:strike w:val="false"/>
        </w:rPr>
        <w:t xml:space="preserve">: </w:t>
      </w:r>
      <w:r>
        <w:t xml:space="preserve">Sexual health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Reproductive health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0.0, 6.0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33"/>
    <w:bookmarkEnd w:id="34"/>
    <w:bookmarkStart w:id="48" w:name="healthcare"/>
    <w:p>
      <w:pPr>
        <w:pStyle w:val="Titre1"/>
      </w:pPr>
      <w:r>
        <w:t xml:space="preserve">Healthcare</w:t>
      </w:r>
    </w:p>
    <w:bookmarkStart w:id="35" w:name="treatment-use"/>
    <w:p>
      <w:pPr>
        <w:pStyle w:val="Titre2"/>
      </w:pPr>
      <w:r>
        <w:t xml:space="preserve">Treatment use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3e7587a-5695-4b74-a120-c436679b41ea" w:name="tbl-treatment-us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3e7587a-5695-4b74-a120-c436679b41ea"/>
      <w:r>
        <w:rPr>
          <w:rFonts/>
          <w:b w:val="true"/>
          <w:strike w:val="false"/>
        </w:rPr>
        <w:t xml:space="preserve">: </w:t>
      </w:r>
      <w:r>
        <w:t xml:space="preserve">Treatment use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Médicaments antipsychotiques « atypiques »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Médicaments antipsychotiques « classiques »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Antidépresseurs utilisés pour traiter la dépression, le trouble obsessionel compulsif, ou trouble de panique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Tranquillisants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Psychothérapie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Electroconvulsivothérapie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 stimulation cérébrale non invasive : stimulation transcrânienne à courant direct 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Stimulation cérébrale profonde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Exercice physique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Soutien par les pairs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bookmarkEnd w:id="35"/>
    <w:bookmarkStart w:id="36" w:name="burden-of-the-treatment"/>
    <w:p>
      <w:pPr>
        <w:pStyle w:val="Titre2"/>
      </w:pPr>
      <w:r>
        <w:t xml:space="preserve">Burden of the treatment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7e3ebe1-adad-4689-8b10-1e812c33d40f" w:name="tbl-burden-treatment-tim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7e3ebe1-adad-4689-8b10-1e812c33d40f"/>
      <w:r>
        <w:rPr>
          <w:rFonts/>
          <w:b w:val="true"/>
          <w:strike w:val="false"/>
        </w:rPr>
        <w:t xml:space="preserve">: </w:t>
      </w:r>
      <w:r>
        <w:t xml:space="preserve">Burden of the treatment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Prise de poids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(82%)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(81%)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Dysfonction sexuelle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Problèmes de mémoire ou "brouillard mental"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Émoussement affectif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Taux élevé de cholestérol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difficulté à rester immobile, besoin de bouger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ou somnolence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Contractions musculaires involontaires, et parfois douloureuses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Sécheresse de la bouche ou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Tremblements et/ou rigidité faciale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Hyperglycémie ou 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Vertiges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Troubles du mouvement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Mouvements involontaires du visage, comme mâchonner, tirer la langue ou cligner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globules blancs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Aucun effet indésirable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4c8109c9-1637-4b74-b76b-58a719be09ae" w:name="tbl-burden-treatment-involvement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4c8109c9-1637-4b74-b76b-58a719be09ae"/>
      <w:r>
        <w:rPr>
          <w:rFonts/>
          <w:b w:val="true"/>
          <w:strike w:val="false"/>
        </w:rPr>
        <w:t xml:space="preserve">: </w:t>
      </w:r>
      <w:r>
        <w:t xml:space="preserve">Burden of the treatment by involvement in treatment decisions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decisions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Prise de poids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(84%)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(77%)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Dysfonction sexuelle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Problèmes de mémoire ou "brouillard mental"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Émoussement affectif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Taux élevé de cholestérol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difficulté à rester immobile, besoin de bouger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ou somnolence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Contractions musculaires involontaires, et parfois douloureuses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Sécheresse de la bouche ou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Tremblements et/ou rigidité faciale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Hyperglycémie ou 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Vertiges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Troubles du mouvement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Mouvements involontaires du visage, comme mâchonner, tirer la langue ou cligner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globules blancs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Aucun effet indésirable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bookmarkEnd w:id="36"/>
    <w:bookmarkStart w:id="41" w:name="quality-of-care"/>
    <w:p>
      <w:pPr>
        <w:pStyle w:val="Titre2"/>
      </w:pPr>
      <w:r>
        <w:t xml:space="preserve">Quality of care</w:t>
      </w:r>
    </w:p>
    <w:bookmarkStart w:id="37" w:name="satisfaction-with-organization-of-care"/>
    <w:p>
      <w:pPr>
        <w:pStyle w:val="Titre3"/>
      </w:pPr>
      <w:r>
        <w:t xml:space="preserve">Satisfaction with organization of care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dc50801-4cf0-4700-822b-d98c32acfe0d" w:name="tbl-satisfaction-organization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dc50801-4cf0-4700-822b-d98c32acfe0d"/>
      <w:r>
        <w:rPr>
          <w:rFonts/>
          <w:b w:val="true"/>
          <w:strike w:val="false"/>
        </w:rPr>
        <w:t xml:space="preserve">: </w:t>
      </w:r>
      <w:r>
        <w:t xml:space="preserve">Satisfaction with organization of care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organization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bookmarkEnd w:id="37"/>
    <w:bookmarkStart w:id="38" w:name="recurence-of-same-healthcare-personel"/>
    <w:p>
      <w:pPr>
        <w:pStyle w:val="Titre3"/>
      </w:pPr>
      <w:r>
        <w:t xml:space="preserve">Recurence of same healthcare personel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5ac8b887-9ef6-4d0b-bd32-28489f0f01b0" w:name="tbl-reccurence-hcp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5ac8b887-9ef6-4d0b-bd32-28489f0f01b0"/>
      <w:r>
        <w:rPr>
          <w:rFonts/>
          <w:b w:val="true"/>
          <w:strike w:val="false"/>
        </w:rPr>
        <w:t xml:space="preserve">: </w:t>
      </w:r>
      <w:r>
        <w:t xml:space="preserve">Recurence of same healthcare personel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Recurence of same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bookmarkEnd w:id="38"/>
    <w:bookmarkStart w:id="39" w:name="X417c73af99ff8d4949de955a77bd010a5ab490d"/>
    <w:p>
      <w:pPr>
        <w:pStyle w:val="Titre3"/>
      </w:pPr>
      <w:r>
        <w:t xml:space="preserve">Statisfaction with information received from HCP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527e0de-8212-4243-b034-775d04e84647" w:name="tbl-satisfaction-info-hcp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527e0de-8212-4243-b034-775d04e84647"/>
      <w:r>
        <w:rPr>
          <w:rFonts/>
          <w:b w:val="true"/>
          <w:strike w:val="false"/>
        </w:rPr>
        <w:t xml:space="preserve">: </w:t>
      </w:r>
      <w:r>
        <w:t xml:space="preserve">Satisfaction with information received from healthcare personel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 with information received from healthcare personel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bookmarkEnd w:id="39"/>
    <w:bookmarkStart w:id="40" w:name="involvement-in-treatment-choice"/>
    <w:p>
      <w:pPr>
        <w:pStyle w:val="Titre3"/>
      </w:pPr>
      <w:r>
        <w:t xml:space="preserve">Involvement in treatment choice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cf7ad403-041d-494f-9acd-4b04c8214df5" w:name="tbl-trt-choice-involvement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cf7ad403-041d-494f-9acd-4b04c8214df5"/>
      <w:r>
        <w:rPr>
          <w:rFonts/>
          <w:b w:val="true"/>
          <w:strike w:val="false"/>
        </w:rPr>
        <w:t xml:space="preserve">: </w:t>
      </w:r>
      <w:r>
        <w:t xml:space="preserve">Involvement in treatment choice by geographical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Involvement in treatment choice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(2.0,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bookmarkEnd w:id="40"/>
    <w:bookmarkEnd w:id="41"/>
    <w:bookmarkStart w:id="45" w:name="diagnostic-timing"/>
    <w:p>
      <w:pPr>
        <w:pStyle w:val="Titre2"/>
      </w:pPr>
      <w:r>
        <w:t xml:space="preserve">Diagnostic timing</w:t>
      </w:r>
    </w:p>
    <w:bookmarkStart w:id="42" w:name="Xf60ac9de12ce4e2f28e5f0c5589cfb5b862bdae"/>
    <w:p>
      <w:pPr>
        <w:pStyle w:val="Titre3"/>
      </w:pPr>
      <w:r>
        <w:t xml:space="preserve">Time between first symptoms and decision to search care</w:t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(44%)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p xmlns:w14="http://schemas.microsoft.com/office/word/2010/wordml">
      <w:pPr>
        <w:pStyle w:val="TableCaption"/>
        <w:jc w:val="center"/>
        <w:keepNext/>
      </w:pPr>
      <w:r>
        <w:t xml:space="preserve">Time between first symptoms and decision to search care (DSHC1)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symptoms and decision to search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bookmarkEnd w:id="42"/>
    <w:bookmarkStart w:id="43" w:name="X2867cbee9b319022bb3b0b2d4098bea067236d5"/>
    <w:p>
      <w:pPr>
        <w:pStyle w:val="Titre3"/>
      </w:pPr>
      <w:r>
        <w:t xml:space="preserve">Time between first appointment and diagnosis</w:t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first symptoms and diagnosis (D13)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first appointment and diagnosis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6m-2y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2-5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5-10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10-20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&gt;20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bookmarkEnd w:id="43"/>
    <w:bookmarkStart w:id="44" w:name="time-between-diagnosis-and-treatment"/>
    <w:p>
      <w:pPr>
        <w:pStyle w:val="Titre3"/>
      </w:pPr>
      <w:r>
        <w:t xml:space="preserve">Time between diagnosis and treatment</w:t>
      </w:r>
    </w:p>
    <w:p xmlns:w14="http://schemas.microsoft.com/office/word/2010/wordml">
      <w:pPr>
        <w:pStyle w:val="TableCaption"/>
        <w:jc w:val="center"/>
        <w:keepNext/>
      </w:pPr>
      <w:r>
        <w:t xml:space="preserve">Time between diagnosis and treatment (HC1)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between diagnosis and 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1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6-12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 2 years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bookmarkEnd w:id="44"/>
    <w:bookmarkEnd w:id="45"/>
    <w:bookmarkStart w:id="47" w:name="accessibility-of-treatment"/>
    <w:p>
      <w:pPr>
        <w:pStyle w:val="Titre2"/>
      </w:pPr>
      <w:r>
        <w:t xml:space="preserve">Accessibility of treatment</w:t>
      </w:r>
    </w:p>
    <w:bookmarkStart w:id="46" w:name="forgone-care"/>
    <w:p>
      <w:pPr>
        <w:pStyle w:val="Titre3"/>
      </w:pPr>
      <w:r>
        <w:t xml:space="preserve">Forgone care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95c83e0-fc27-4b80-bca3-9f73f87107f3" w:name="tbl-forgone-care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95c83e0-fc27-4b80-bca3-9f73f87107f3"/>
      <w:r>
        <w:rPr>
          <w:rFonts/>
          <w:b w:val="true"/>
          <w:strike w:val="false"/>
        </w:rPr>
        <w:t xml:space="preserve">: </w:t>
      </w:r>
      <w:r>
        <w:t xml:space="preserve">Forgone care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Délais d'attente très longs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Peur des examens médicaux, de l'hôpital, ou d'autre chose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temps à cause du travail, des enfants, ou autre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d'information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entre le domicile et le lieu de soins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personnel compétent pour vous administrer les soins dont vous avez besoin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 de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Difficultés pour payer les soins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</w:t>
            </w:r>
          </w:p>
        </w:tc>
      </w:tr>
    </w:tbl>
    <w:bookmarkEnd w:id="46"/>
    <w:bookmarkEnd w:id="47"/>
    <w:bookmarkEnd w:id="48"/>
    <w:bookmarkStart w:id="56" w:name="social"/>
    <w:p>
      <w:pPr>
        <w:pStyle w:val="Titre1"/>
      </w:pPr>
      <w:r>
        <w:t xml:space="preserve">Social</w:t>
      </w:r>
    </w:p>
    <w:bookmarkStart w:id="49" w:name="social-support-needs"/>
    <w:p>
      <w:pPr>
        <w:pStyle w:val="Titre2"/>
      </w:pPr>
      <w:r>
        <w:t xml:space="preserve">Social support needs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7274328a-b49d-4a69-b3ab-fcaffd3c40e6" w:name="tbl-social-support-reg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7274328a-b49d-4a69-b3ab-fcaffd3c40e6"/>
      <w:r>
        <w:rPr>
          <w:rFonts/>
          <w:b w:val="true"/>
          <w:strike w:val="false"/>
        </w:rPr>
        <w:t xml:space="preserve">: </w:t>
      </w:r>
      <w:r>
        <w:t xml:space="preserve">Social support needs by region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  <w:gridCol w:w="1134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Flanders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Wallonia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(18%)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test; Pearson's Chi-squared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97d59e7f-ddb3-41c4-a9a4-c4771da1e5e9" w:name="tbl-social-support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97d59e7f-ddb3-41c4-a9a4-c4771da1e5e9"/>
      <w:r>
        <w:rPr>
          <w:rFonts/>
          <w:b w:val="true"/>
          <w:strike w:val="false"/>
        </w:rPr>
        <w:t xml:space="preserve">: </w:t>
      </w:r>
      <w:r>
        <w:t xml:space="preserve">Social support needs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1134"/>
        <w:gridCol w:w="1134"/>
        <w:gridCol w:w="113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S7_SQ010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(9.2%)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Fisher's exact test</w:t>
            </w:r>
          </w:p>
        </w:tc>
      </w:tr>
    </w:tbl>
    <w:p>
      <w:r>
        <w:br w:type="page"/>
      </w:r>
    </w:p>
    <w:bookmarkEnd w:id="49"/>
    <w:bookmarkStart w:id="50" w:name="social-connection-needs"/>
    <w:p>
      <w:pPr>
        <w:pStyle w:val="Titre2"/>
      </w:pPr>
      <w:r>
        <w:t xml:space="preserve">Social connection needs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476d073e-c025-455f-9427-4594605f7177" w:name="tbl-impact-personal-relations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476d073e-c025-455f-9427-4594605f7177"/>
      <w:r>
        <w:rPr>
          <w:rFonts/>
          <w:b w:val="true"/>
          <w:strike w:val="false"/>
        </w:rPr>
        <w:t xml:space="preserve">: </w:t>
      </w:r>
      <w:r>
        <w:t xml:space="preserve">Impact on personal relations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personal relations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effae34-60d4-4ee7-b931-bf17f37c2266" w:name="tbl-impact-personal-relations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effae34-60d4-4ee7-b931-bf17f37c2266"/>
      <w:r>
        <w:rPr>
          <w:rFonts/>
          <w:b w:val="true"/>
          <w:strike w:val="false"/>
        </w:rPr>
        <w:t xml:space="preserve">: </w:t>
      </w:r>
      <w:r>
        <w:t xml:space="preserve">Impact on personal relations by age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  <w:gridCol w:w="170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25-65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65+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personal relations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(4.0,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p>
      <w:r>
        <w:br w:type="page"/>
      </w:r>
    </w:p>
    <w:bookmarkEnd w:id="50"/>
    <w:bookmarkStart w:id="51" w:name="education"/>
    <w:p>
      <w:pPr>
        <w:pStyle w:val="Titre2"/>
      </w:pPr>
      <w:r>
        <w:t xml:space="preserve">Education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823f4640-a55c-43d7-a3ae-34459c756469" w:name="tbl-impact-education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823f4640-a55c-43d7-a3ae-34459c756469"/>
      <w:r>
        <w:rPr>
          <w:rFonts/>
          <w:b w:val="true"/>
          <w:strike w:val="false"/>
        </w:rPr>
        <w:t xml:space="preserve">: </w:t>
      </w:r>
      <w:r>
        <w:t xml:space="preserve">Impact on education by gender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education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(2.0,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bookmarkEnd w:id="51"/>
    <w:bookmarkStart w:id="54" w:name="work"/>
    <w:p>
      <w:pPr>
        <w:pStyle w:val="Titre2"/>
      </w:pPr>
      <w:r>
        <w:t xml:space="preserve">Work</w:t>
      </w:r>
    </w:p>
    <w:bookmarkStart w:id="52" w:name="impact-on-work-intensity"/>
    <w:p>
      <w:pPr>
        <w:pStyle w:val="Titre3"/>
      </w:pPr>
      <w:r>
        <w:t xml:space="preserve">Impact on work intensity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68679f4e-8251-4f0c-ae9f-01c4bf6e7c86" w:name="tbl-impact-work-gender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68679f4e-8251-4f0c-ae9f-01c4bf6e7c86"/>
      <w:r>
        <w:rPr>
          <w:rFonts/>
          <w:b w:val="true"/>
          <w:strike w:val="false"/>
        </w:rPr>
        <w:t xml:space="preserve">: </w:t>
      </w:r>
      <w:r>
        <w:t xml:space="preserve">Impact on work intensity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80a8540-52f2-4a3a-90a5-125c562bb05f" w:name="tbl-impact-work-age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80a8540-52f2-4a3a-90a5-125c562bb05f"/>
      <w:r>
        <w:rPr>
          <w:rFonts/>
          <w:b w:val="true"/>
          <w:strike w:val="false"/>
        </w:rPr>
        <w:t xml:space="preserve">: </w:t>
      </w:r>
      <w:r>
        <w:t xml:space="preserve">Impact on work intensity by living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work intensity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Work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Stopped working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impact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</w:t>
            </w:r>
          </w:p>
        </w:tc>
      </w:tr>
    </w:tbl>
    <w:p>
      <w:r>
        <w:br w:type="page"/>
      </w:r>
    </w:p>
    <w:bookmarkEnd w:id="52"/>
    <w:bookmarkStart w:id="53" w:name="time-of-incapacity-to-work"/>
    <w:p>
      <w:pPr>
        <w:pStyle w:val="Titre3"/>
      </w:pPr>
      <w:r>
        <w:t xml:space="preserve">Time of incapacity to work</w:t>
      </w:r>
    </w:p>
    <w:bookmarkEnd w:id="53"/>
    <w:bookmarkEnd w:id="54"/>
    <w:bookmarkStart w:id="55" w:name="financial-consequences"/>
    <w:p>
      <w:pPr>
        <w:pStyle w:val="Titre2"/>
      </w:pPr>
      <w:r>
        <w:t xml:space="preserve">Financial consequences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b7521492-0dba-40e3-905d-94a20838d294" w:name="tbl-impact-financial-living-situation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b7521492-0dba-40e3-905d-94a20838d294"/>
      <w:r>
        <w:rPr>
          <w:rFonts/>
          <w:b w:val="true"/>
          <w:strike w:val="false"/>
        </w:rPr>
        <w:t xml:space="preserve">: </w:t>
      </w:r>
      <w:r>
        <w:t xml:space="preserve">Impact on financial situation by living situation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Living situation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32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others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p>
      <w:r>
        <w:br w:type="page"/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true"/>
          <w:strike w:val="false"/>
        </w:rPr>
        <w:t xml:space="preserve">Table </w:t>
      </w:r>
      <w:bookmarkStart w:id="fc0d5765-5d59-4fe6-be38-5ba52a27f67c" w:name="tbl-impact-financial-time-since-diag"/>
      <w:r>
        <w:rPr>
          <w:rFonts/>
          <w:b w:val="true"/>
          <w:strike w:val="false"/>
        </w:rPr>
        <w:fldChar w:fldCharType="begin" w:dirty="true"/>
      </w:r>
      <w:r>
        <w:rPr>
          <w:rFonts/>
          <w:b w:val="true"/>
          <w:strike w:val="false"/>
        </w:rPr>
        <w:instrText xml:space="preserve" w:dirty="true">SEQ tab \* Arabic</w:instrText>
      </w:r>
      <w:r>
        <w:rPr>
          <w:rFonts/>
          <w:b w:val="true"/>
          <w:strike w:val="false"/>
        </w:rPr>
        <w:fldChar w:fldCharType="end" w:dirty="true"/>
      </w:r>
      <w:bookmarkEnd w:id="fc0d5765-5d59-4fe6-be38-5ba52a27f67c"/>
      <w:r>
        <w:rPr>
          <w:rFonts/>
          <w:b w:val="true"/>
          <w:strike w:val="false"/>
        </w:rPr>
        <w:t xml:space="preserve">: </w:t>
      </w:r>
      <w:r>
        <w:t xml:space="preserve">Impact on financial situation by time since diagnosis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701"/>
        <w:gridCol w:w="1701"/>
        <w:gridCol w:w="1701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since 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6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 10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10+ years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 on financial situation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bookmarkEnd w:id="55"/>
    <w:bookmarkEnd w:id="56"/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NEED project</dc:title>
  <dc:creator>Alexandre Bohyn</dc:creator>
  <cp:keywords/>
  <dcterms:created xsi:type="dcterms:W3CDTF">2025-10-03T09:02:50Z</dcterms:created>
  <dcterms:modified xsi:type="dcterms:W3CDTF">2025-10-03T11:03:04Z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officedown::rdocx_document</vt:lpwstr>
  </property>
  <property fmtid="{D5CDD505-2E9C-101B-9397-08002B2CF9AE}" pid="3" name="subtitle">
    <vt:lpwstr>Sub-analyses</vt:lpwstr>
  </property>
</Properties>
</file>