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rPr/>
        <w:t xml:space="preserve">Table </w:t>
      </w:r>
      <w:r>
        <w:rPr/>
        <w:fldChar w:fldCharType="begin" w:dirty="true"/>
      </w:r>
      <w:r>
        <w:rPr/>
        <w:instrText xml:space="preserve" w:dirty="true">SEQ table \* Arabic</w:instrText>
      </w:r>
      <w:r>
        <w:rPr/>
        <w:fldChar w:fldCharType="end" w:dirty="true"/>
      </w:r>
      <w:r>
        <w:rPr/>
        <w:t xml:space="preserve">: </w:t>
      </w:r>
      <w:r>
        <w:t xml:space="preserve">Clinical features of psychotic disorders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5669"/>
        <w:gridCol w:w="170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 = 168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617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Distance entre le domicile et le lieu de soins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43 (83%)</w:t>
            </w:r>
          </w:p>
        </w:tc>
      </w:tr>
      <w:tr>
        <w:trPr>
          <w:trHeight w:val="614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116</w:t>
            </w:r>
          </w:p>
        </w:tc>
      </w:tr>
      <w:tr>
        <w:trPr>
          <w:trHeight w:val="617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Problème de transport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 (85%)</w:t>
            </w:r>
          </w:p>
        </w:tc>
      </w:tr>
      <w:tr>
        <w:trPr>
          <w:trHeight w:val="614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116</w:t>
            </w:r>
          </w:p>
        </w:tc>
      </w:tr>
      <w:tr>
        <w:trPr>
          <w:trHeight w:val="617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Manque de personnel compétent pour vous administrer les soins dont vous avez besoin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 (65%)</w:t>
            </w:r>
          </w:p>
        </w:tc>
      </w:tr>
      <w:tr>
        <w:trPr>
          <w:trHeight w:val="614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116</w:t>
            </w:r>
          </w:p>
        </w:tc>
      </w:tr>
      <w:tr>
        <w:trPr>
          <w:trHeight w:val="617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Délais d'attente très longs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 (52%)</w:t>
            </w:r>
          </w:p>
        </w:tc>
      </w:tr>
      <w:tr>
        <w:trPr>
          <w:trHeight w:val="614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116</w:t>
            </w:r>
          </w:p>
        </w:tc>
      </w:tr>
      <w:tr>
        <w:trPr>
          <w:trHeight w:val="617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Difficultés pour payer les soins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 (67%)</w:t>
            </w:r>
          </w:p>
        </w:tc>
      </w:tr>
      <w:tr>
        <w:trPr>
          <w:trHeight w:val="614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116</w:t>
            </w:r>
          </w:p>
        </w:tc>
      </w:tr>
      <w:tr>
        <w:trPr>
          <w:trHeight w:val="617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Peur des examens médicaux, de l'hôpital, ou d'autre chose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 (71%)</w:t>
            </w:r>
          </w:p>
        </w:tc>
      </w:tr>
      <w:tr>
        <w:trPr>
          <w:trHeight w:val="614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116</w:t>
            </w:r>
          </w:p>
        </w:tc>
      </w:tr>
      <w:tr>
        <w:trPr>
          <w:trHeight w:val="617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Manque de temps à cause du travail, des enfants, ou autre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49 (94%)</w:t>
            </w:r>
          </w:p>
        </w:tc>
      </w:tr>
      <w:tr>
        <w:trPr>
          <w:trHeight w:val="614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116</w:t>
            </w:r>
          </w:p>
        </w:tc>
      </w:tr>
      <w:tr>
        <w:trPr>
          <w:trHeight w:val="617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Manque d'information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41 (79%)</w:t>
            </w:r>
          </w:p>
        </w:tc>
      </w:tr>
      <w:tr>
        <w:trPr>
          <w:trHeight w:val="614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116</w:t>
            </w:r>
          </w:p>
        </w:tc>
      </w:tr>
      <w:tr>
        <w:trPr>
          <w:trHeight w:val="617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Difficultés liées à la langue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52 (100%)</w:t>
            </w:r>
          </w:p>
        </w:tc>
      </w:tr>
      <w:tr>
        <w:trPr>
          <w:trHeight w:val="614" w:hRule="auto"/>
        </w:trPr>
        body18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116</w:t>
            </w:r>
          </w:p>
        </w:tc>
      </w:tr>
      <w:tr>
        <w:trPr>
          <w:trHeight w:val="360" w:hRule="auto"/>
        </w:trPr>
        footer 1
        <w:tc>
          <w:tcPr>
            <w:gridSpan w:val="2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(%)</w:t>
            </w:r>
          </w:p>
        </w:tc>
      </w:tr>
    </w:tbl>
    <w:sectPr>
      <w:pgMar w:header="708" w:bottom="1417" w:top="1417" w:right="1417" w:left="1417" w:footer="708" w:gutter="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2025-09-22T10:19:23Z</dcterms:modified>
  <cp:category/>
</cp:coreProperties>
</file>