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2"/>
        <w:gridCol w:w="2746"/>
        <w:gridCol w:w="1903"/>
        <w:gridCol w:w="1242"/>
      </w:tblGrid>
      <w:tr>
        <w:trPr>
          <w:trHeight w:val="41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61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Before first symptoms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168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Today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168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EQ-5D-5L utility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(21) [73, 79]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(23) [57, 64]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 [95% CI]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Paired t-test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2025-09-19T16:54:32Z</dcterms:modified>
  <cp:category/>
</cp:coreProperties>
</file>