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>: </w:t>
      </w:r>
      <w:r>
        <w:t xml:space="preserve">Self-reported treatment per diagnosis.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2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1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Diagnosis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veux pas répondre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Schizophrénie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bipolaire avec caractéristiques psychotiques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délirant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psychotique bref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psychotique dû à une autre affection médicale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psychotique induit par une substance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psychotique non spécifié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psychotique partagé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schizo-affectif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 schizophréniforme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Antidépresseurs utilisés pour traiter la dépression, le trouble obsessionel compulsif, ou trouble de panique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 stimulation cérébrale non invasive : stimulation transcrânienne à courant direct 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Clozapine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Electroconvulsivothérapie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Exercice physique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Médicaments antipsychotiques « atypiques 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Médicaments antipsychotiques « classiques »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Psychothérapie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Soutien par les pairs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Stimulation cérébrale profonde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Tranquillisants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(6.3%)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(7.2%)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(8.9%)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(8.9%)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(8.9%)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(7.9%)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(7.4%)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 for Count Data with simulated 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2025-09-22T11:30:33Z</dcterms:modified>
  <cp:category/>
</cp:coreProperties>
</file>