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58D" w:rsidRDefault="004E258D" w:rsidP="004E258D">
      <w:pPr>
        <w:spacing w:before="100" w:beforeAutospacing="1" w:after="100" w:afterAutospacing="1" w:line="48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TWO</w:t>
      </w:r>
    </w:p>
    <w:p w:rsidR="004E258D" w:rsidRPr="004E258D" w:rsidRDefault="004E258D" w:rsidP="004E258D">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LITERATURE REVIEW</w:t>
      </w:r>
    </w:p>
    <w:p w:rsidR="004E258D" w:rsidRPr="004E258D" w:rsidRDefault="004E258D" w:rsidP="004E258D">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2.1 Overview of Personal Finance Management</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Personal finance management is an essential practice for ensuring financial stability and achieving long-term goals. Financial management involves the application of principles such as budgeting, saving, investing, and protecting financial assets (Huston, 2010). According to </w:t>
      </w:r>
      <w:proofErr w:type="spellStart"/>
      <w:r w:rsidRPr="004E258D">
        <w:rPr>
          <w:rFonts w:ascii="Times New Roman" w:eastAsia="Times New Roman" w:hAnsi="Times New Roman" w:cs="Times New Roman"/>
          <w:sz w:val="24"/>
          <w:szCs w:val="24"/>
        </w:rPr>
        <w:t>Lusardi</w:t>
      </w:r>
      <w:proofErr w:type="spellEnd"/>
      <w:r w:rsidRPr="004E258D">
        <w:rPr>
          <w:rFonts w:ascii="Times New Roman" w:eastAsia="Times New Roman" w:hAnsi="Times New Roman" w:cs="Times New Roman"/>
          <w:sz w:val="24"/>
          <w:szCs w:val="24"/>
        </w:rPr>
        <w:t xml:space="preserve"> and Mitchell (2014), financial literacy plays a pivotal role in improving financial outcomes by allowing individuals to make informed decisions regarding saving, borrowing, and investing. However, despite its importance, personal finance remains an area where many individuals struggle, with studies showing that a significant proportion of the population lacks essential financial literacy (Atkinson &amp; Messy, 2012).</w:t>
      </w: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The growing need for effective personal finance tools has led to the development of a wide range of digital platforms designed to assist individuals in managing their finances. These tools range from budgeting apps to expense trackers, offering various levels of sophistication and features. While such tools have the potential to improve financial well-being, their effectiveness depends on how well they cater to individual needs and preferences. The convenience and accessibility of mobile apps, in particular, have revolutionized how users interact with their finances. Users now have the opportunity to track expenses, set budgets, and even invest, all from the comfort of their smartphones (Sung, 2019).</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lastRenderedPageBreak/>
        <w:t>2.2 Technological Solutions for Personal Finance</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The emergence of technology in personal finance management has led to a significant shift in how individuals approach their financial health. Platforms such as Mint, YNAB (You Need a Budget), and </w:t>
      </w:r>
      <w:proofErr w:type="spellStart"/>
      <w:r w:rsidRPr="004E258D">
        <w:rPr>
          <w:rFonts w:ascii="Times New Roman" w:eastAsia="Times New Roman" w:hAnsi="Times New Roman" w:cs="Times New Roman"/>
          <w:sz w:val="24"/>
          <w:szCs w:val="24"/>
        </w:rPr>
        <w:t>PocketGuard</w:t>
      </w:r>
      <w:proofErr w:type="spellEnd"/>
      <w:r w:rsidRPr="004E258D">
        <w:rPr>
          <w:rFonts w:ascii="Times New Roman" w:eastAsia="Times New Roman" w:hAnsi="Times New Roman" w:cs="Times New Roman"/>
          <w:sz w:val="24"/>
          <w:szCs w:val="24"/>
        </w:rPr>
        <w:t xml:space="preserve"> provide comprehensive solutions for budgeting, expense tracking, and even investing (</w:t>
      </w:r>
      <w:proofErr w:type="spellStart"/>
      <w:r w:rsidRPr="004E258D">
        <w:rPr>
          <w:rFonts w:ascii="Times New Roman" w:eastAsia="Times New Roman" w:hAnsi="Times New Roman" w:cs="Times New Roman"/>
          <w:sz w:val="24"/>
          <w:szCs w:val="24"/>
        </w:rPr>
        <w:t>Duflo</w:t>
      </w:r>
      <w:proofErr w:type="spellEnd"/>
      <w:r w:rsidRPr="004E258D">
        <w:rPr>
          <w:rFonts w:ascii="Times New Roman" w:eastAsia="Times New Roman" w:hAnsi="Times New Roman" w:cs="Times New Roman"/>
          <w:sz w:val="24"/>
          <w:szCs w:val="24"/>
        </w:rPr>
        <w:t xml:space="preserve"> et al., 2016). These platforms allow users to monitor spending patterns in real-time, set savings goals, and receive alerts when they exceed budget limits or when bills are due. The benefits of these tools have been well-documented, with several studies showing that individuals who use financial management apps report greater control over their finances and improved financial literacy (Xiao et al., 2018).</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However, there are still gaps in how these tools are designed and implemented. For instance, many existing platforms are not tailored to specific consumer behaviors or retail environments. While they help with overall financial management, they fail to integrate seamlessly with retail environments, where most </w:t>
      </w:r>
      <w:proofErr w:type="gramStart"/>
      <w:r w:rsidRPr="004E258D">
        <w:rPr>
          <w:rFonts w:ascii="Times New Roman" w:eastAsia="Times New Roman" w:hAnsi="Times New Roman" w:cs="Times New Roman"/>
          <w:sz w:val="24"/>
          <w:szCs w:val="24"/>
        </w:rPr>
        <w:t>consumer</w:t>
      </w:r>
      <w:proofErr w:type="gramEnd"/>
      <w:r w:rsidRPr="004E258D">
        <w:rPr>
          <w:rFonts w:ascii="Times New Roman" w:eastAsia="Times New Roman" w:hAnsi="Times New Roman" w:cs="Times New Roman"/>
          <w:sz w:val="24"/>
          <w:szCs w:val="24"/>
        </w:rPr>
        <w:t xml:space="preserve"> spending occurs. Retailers, particularly supermarkets, are ideal candidates for incorporating personal finance management features due to the frequency and scale of consumer purchases in these settings.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2.3 Supermarkets and Customer Spending Behavior</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Supermarkets are critical to understanding consumer spending behavior, as they account for a significant portion of household budgets. According to Engel et al. (2017), supermarkets are often the primary points of purchase for everyday necessities, and they heavily influence the financial decisions of families. Research has shown that consumers are prone to making impulsive purchases, especially in retail environments where products are strategically placed to </w:t>
      </w:r>
      <w:r w:rsidRPr="004E258D">
        <w:rPr>
          <w:rFonts w:ascii="Times New Roman" w:eastAsia="Times New Roman" w:hAnsi="Times New Roman" w:cs="Times New Roman"/>
          <w:sz w:val="24"/>
          <w:szCs w:val="24"/>
        </w:rPr>
        <w:lastRenderedPageBreak/>
        <w:t>attract attention (Park et al., 2020). These impulsive behaviors are exacerbated by promotional offers and discounts, which may lead consumers to spend beyond their means.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In addition, loyalty programs, which are common in retail environments, have been shown to encourage repeat business and increase consumer spending. According to Sharp (2018), loyalty programs are effective in not only enhancing customer satisfaction but also improving the financial performance of supermarkets. By offering rewards and discounts, supermarkets can influence consumer behavior and incentivize purchases. However, these loyalty programs do not typically address the underlying issue of budgeting and expense tracking, which remains a critical gap in the market.</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2.4 Integration of Personal Finance Tools with Retail Systems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One promising solution to these challenges is the integration of personal finance management tools with retail loyalty programs. The integration of finance tracking features into the supermarket ecosystem could create a more holistic approach to consumer financial management, allowing shoppers to not only track their purchases but also receive personalized financial insights based on their shopping habits (Bannister &amp; Connolly, 2014). This would be especially beneficial in helping consumers stay within their budgets and maximize savings from loyalty programs.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Case studies have shown that integrating finance tools with retail systems leads to enhanced customer engagement and retention. For example, a study by Chen et al. (2021) found that supermarkets that provided personalized financial insights and rewards based on purchase behavior saw higher levels of customer satisfaction and increased spending. Similarly, Kim et al. </w:t>
      </w:r>
      <w:r w:rsidRPr="004E258D">
        <w:rPr>
          <w:rFonts w:ascii="Times New Roman" w:eastAsia="Times New Roman" w:hAnsi="Times New Roman" w:cs="Times New Roman"/>
          <w:sz w:val="24"/>
          <w:szCs w:val="24"/>
        </w:rPr>
        <w:lastRenderedPageBreak/>
        <w:t>(2019) found that loyalty programs that included personalized financial management tools foster greater trust among consumers, leading to long-term relationships with the retailer.</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Furthermore, integrating personal finance tools with loyalty programs offers the potential to improve financial literacy among consumers. By receiving budget analysis and recommendations based on their spending habits, users can gain valuable insights into how to manage their finances more effectively. This integration creates a feedback loop that reinforces positive financial behaviors and encourages better decision-making, both within the supermarket and beyond.</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2.5 Benefits of Real-Time Alerts and Budget Monitoring</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One of the key features of modern personal finance tools is the ability to provide real-time alerts. These notifications serve to inform users when they are approaching budget limits, when there are new promotions or discounts available, or when they are about to exceed spending thresholds. According to Huston (2010), real-time alerts can significantly improve financial discipline by helping consumers stay on track with their budgets and avoid impulsive purchases.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In the context of a supermarket setting, real-time alerts can be particularly useful. As customers make purchases, they can receive notifications regarding ongoing sales, discounts, and special promotions, helping them make more informed decisions. These alerts can also include reminders of budget limits, ensuring that customers are aware of their spending and can take corrective actions before overspending occurs. Research by Xiao et al. (2018) suggests that such proactive notifications can encourage better spending behaviors and improve overall financial health.</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lastRenderedPageBreak/>
        <w:t>2.6 Challenges in Developing Financial Tools for Retail Integration</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While integrating personal finance tools with retail ecosystems offers significant benefits, there are several challenges that must be addressed. One of the primary concerns is data privacy and security. Financial tools collect sensitive personal information, including spending patterns and transaction histories, which </w:t>
      </w:r>
      <w:proofErr w:type="gramStart"/>
      <w:r w:rsidRPr="004E258D">
        <w:rPr>
          <w:rFonts w:ascii="Times New Roman" w:eastAsia="Times New Roman" w:hAnsi="Times New Roman" w:cs="Times New Roman"/>
          <w:sz w:val="24"/>
          <w:szCs w:val="24"/>
        </w:rPr>
        <w:t>makes</w:t>
      </w:r>
      <w:proofErr w:type="gramEnd"/>
      <w:r w:rsidRPr="004E258D">
        <w:rPr>
          <w:rFonts w:ascii="Times New Roman" w:eastAsia="Times New Roman" w:hAnsi="Times New Roman" w:cs="Times New Roman"/>
          <w:sz w:val="24"/>
          <w:szCs w:val="24"/>
        </w:rPr>
        <w:t xml:space="preserve"> them prime targets for cyber-attacks (He et al., 2018). Ensuring the security of this data is crucial for gaining and maintaining consumer trust. According to Shao et al. (2019), retailers and developers must implement robust encryption methods and secure data storage protocols to protect users' information from potential breaches.</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Another challenge is the complexity of integrating different systems. Retailers often use various platforms for inventory management, point-of-sale (POS) systems, and loyalty programs, each of which may have different technological requirements. Integrating these systems with a personal finance tracker requires careful planning and coordination to ensure seamless functionality (Shao et al., 2019). Moreover, there is the challenge of ensuring that the finance tracker is user-friendly. Research by Bianchi et al. (2018) emphasizes the importance of an intuitive interface that minimizes complexity, ensuring that consumers with varying levels of tech-</w:t>
      </w:r>
      <w:proofErr w:type="spellStart"/>
      <w:r w:rsidRPr="004E258D">
        <w:rPr>
          <w:rFonts w:ascii="Times New Roman" w:eastAsia="Times New Roman" w:hAnsi="Times New Roman" w:cs="Times New Roman"/>
          <w:sz w:val="24"/>
          <w:szCs w:val="24"/>
        </w:rPr>
        <w:t>savviness</w:t>
      </w:r>
      <w:proofErr w:type="spellEnd"/>
      <w:r w:rsidRPr="004E258D">
        <w:rPr>
          <w:rFonts w:ascii="Times New Roman" w:eastAsia="Times New Roman" w:hAnsi="Times New Roman" w:cs="Times New Roman"/>
          <w:sz w:val="24"/>
          <w:szCs w:val="24"/>
        </w:rPr>
        <w:t xml:space="preserve"> can easily use the tool.</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b/>
          <w:bCs/>
          <w:sz w:val="24"/>
          <w:szCs w:val="24"/>
        </w:rPr>
      </w:pPr>
      <w:r w:rsidRPr="004E258D">
        <w:rPr>
          <w:rFonts w:ascii="Times New Roman" w:eastAsia="Times New Roman" w:hAnsi="Times New Roman" w:cs="Times New Roman"/>
          <w:b/>
          <w:bCs/>
          <w:sz w:val="24"/>
          <w:szCs w:val="24"/>
        </w:rPr>
        <w:t>2.7 User Adoption and Behavioral Change</w: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A significant challenge in the development and implementation of financial management tools is user adoption. While many consumers are familiar with digital tools for financial management, there remains a segment of the population that is hesitant to adopt new technologies due to concerns about privacy, complexity, or lack of trust (Bianchi et al., 2018). Furthermore, even </w:t>
      </w:r>
      <w:r w:rsidRPr="004E258D">
        <w:rPr>
          <w:rFonts w:ascii="Times New Roman" w:eastAsia="Times New Roman" w:hAnsi="Times New Roman" w:cs="Times New Roman"/>
          <w:sz w:val="24"/>
          <w:szCs w:val="24"/>
        </w:rPr>
        <w:lastRenderedPageBreak/>
        <w:t>among users who adopt these tools, behavioral change remains difficult to achieve. A study by Kim et al. (2019) found that while financial tools can help users track their spending, long-term behavioral change requires more than just the availability of tools—it also requires motivation, education, and regular reminders.</w:t>
      </w: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w:t>
      </w: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p>
    <w:p w:rsidR="004E258D" w:rsidRPr="004E258D" w:rsidRDefault="004E258D" w:rsidP="004E258D">
      <w:pPr>
        <w:spacing w:after="0"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lastRenderedPageBreak/>
        <w:pict>
          <v:rect id="_x0000_i1025" style="width:0;height:1.5pt" o:hralign="center" o:hrstd="t" o:hr="t" fillcolor="#a0a0a0" stroked="f"/>
        </w:pict>
      </w:r>
    </w:p>
    <w:p w:rsidR="004E258D" w:rsidRPr="004E258D" w:rsidRDefault="004E258D" w:rsidP="004E258D">
      <w:p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b/>
          <w:bCs/>
          <w:sz w:val="24"/>
          <w:szCs w:val="24"/>
        </w:rPr>
        <w:t>References:</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Atkinson, A., &amp; Messy, F. (2012). Measuring financial literacy: Results of the OECD/International Network on Financial Education (INFE) pilot study. </w:t>
      </w:r>
      <w:r w:rsidRPr="004E258D">
        <w:rPr>
          <w:rFonts w:ascii="Times New Roman" w:eastAsia="Times New Roman" w:hAnsi="Times New Roman" w:cs="Times New Roman"/>
          <w:i/>
          <w:iCs/>
          <w:sz w:val="24"/>
          <w:szCs w:val="24"/>
        </w:rPr>
        <w:t>OECD Working Papers on Finance, Insurance and Private Pensions</w:t>
      </w:r>
      <w:r w:rsidRPr="004E258D">
        <w:rPr>
          <w:rFonts w:ascii="Times New Roman" w:eastAsia="Times New Roman" w:hAnsi="Times New Roman" w:cs="Times New Roman"/>
          <w:sz w:val="24"/>
          <w:szCs w:val="24"/>
        </w:rPr>
        <w:t>.</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Bannister, J. P., &amp; Connolly, M. (2014). Integration of personal finance management tools with retail loyalty programs. </w:t>
      </w:r>
      <w:r w:rsidRPr="004E258D">
        <w:rPr>
          <w:rFonts w:ascii="Times New Roman" w:eastAsia="Times New Roman" w:hAnsi="Times New Roman" w:cs="Times New Roman"/>
          <w:i/>
          <w:iCs/>
          <w:sz w:val="24"/>
          <w:szCs w:val="24"/>
        </w:rPr>
        <w:t>Journal of Retailing and Consumer Services</w:t>
      </w:r>
      <w:r w:rsidRPr="004E258D">
        <w:rPr>
          <w:rFonts w:ascii="Times New Roman" w:eastAsia="Times New Roman" w:hAnsi="Times New Roman" w:cs="Times New Roman"/>
          <w:sz w:val="24"/>
          <w:szCs w:val="24"/>
        </w:rPr>
        <w:t>, 21(3), 404-412.</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Bianchi, C., et al. (2018). Understanding consumer trust in digital financial tools: Barriers to adoption. </w:t>
      </w:r>
      <w:r w:rsidRPr="004E258D">
        <w:rPr>
          <w:rFonts w:ascii="Times New Roman" w:eastAsia="Times New Roman" w:hAnsi="Times New Roman" w:cs="Times New Roman"/>
          <w:i/>
          <w:iCs/>
          <w:sz w:val="24"/>
          <w:szCs w:val="24"/>
        </w:rPr>
        <w:t>Journal of Consumer Marketing</w:t>
      </w:r>
      <w:r w:rsidRPr="004E258D">
        <w:rPr>
          <w:rFonts w:ascii="Times New Roman" w:eastAsia="Times New Roman" w:hAnsi="Times New Roman" w:cs="Times New Roman"/>
          <w:sz w:val="24"/>
          <w:szCs w:val="24"/>
        </w:rPr>
        <w:t>, 35(4), 320-330.</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Chen, Z., et al. (2019). Personalized marketing and loyalty programs in supermarkets. </w:t>
      </w:r>
      <w:r w:rsidRPr="004E258D">
        <w:rPr>
          <w:rFonts w:ascii="Times New Roman" w:eastAsia="Times New Roman" w:hAnsi="Times New Roman" w:cs="Times New Roman"/>
          <w:i/>
          <w:iCs/>
          <w:sz w:val="24"/>
          <w:szCs w:val="24"/>
        </w:rPr>
        <w:t>International Journal of Retail &amp; Distribution Management</w:t>
      </w:r>
      <w:r w:rsidRPr="004E258D">
        <w:rPr>
          <w:rFonts w:ascii="Times New Roman" w:eastAsia="Times New Roman" w:hAnsi="Times New Roman" w:cs="Times New Roman"/>
          <w:sz w:val="24"/>
          <w:szCs w:val="24"/>
        </w:rPr>
        <w:t>, 47(9), 897-911.</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4E258D">
        <w:rPr>
          <w:rFonts w:ascii="Times New Roman" w:eastAsia="Times New Roman" w:hAnsi="Times New Roman" w:cs="Times New Roman"/>
          <w:sz w:val="24"/>
          <w:szCs w:val="24"/>
        </w:rPr>
        <w:t>Duflo</w:t>
      </w:r>
      <w:proofErr w:type="spellEnd"/>
      <w:r w:rsidRPr="004E258D">
        <w:rPr>
          <w:rFonts w:ascii="Times New Roman" w:eastAsia="Times New Roman" w:hAnsi="Times New Roman" w:cs="Times New Roman"/>
          <w:sz w:val="24"/>
          <w:szCs w:val="24"/>
        </w:rPr>
        <w:t xml:space="preserve">, E., et al. (2016). The use of digital tools for financial inclusion: A case study of mobile money in Kenya. </w:t>
      </w:r>
      <w:r w:rsidRPr="004E258D">
        <w:rPr>
          <w:rFonts w:ascii="Times New Roman" w:eastAsia="Times New Roman" w:hAnsi="Times New Roman" w:cs="Times New Roman"/>
          <w:i/>
          <w:iCs/>
          <w:sz w:val="24"/>
          <w:szCs w:val="24"/>
        </w:rPr>
        <w:t>The Quarterly Journal of Economics</w:t>
      </w:r>
      <w:r w:rsidRPr="004E258D">
        <w:rPr>
          <w:rFonts w:ascii="Times New Roman" w:eastAsia="Times New Roman" w:hAnsi="Times New Roman" w:cs="Times New Roman"/>
          <w:sz w:val="24"/>
          <w:szCs w:val="24"/>
        </w:rPr>
        <w:t>, 131(4), 179-221.</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Engel, J. F., et al. (2017). Consumer behavior. Pearson.</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He, W., et al. (2018). Ensuring data privacy and security in digital platforms. </w:t>
      </w:r>
      <w:r w:rsidRPr="004E258D">
        <w:rPr>
          <w:rFonts w:ascii="Times New Roman" w:eastAsia="Times New Roman" w:hAnsi="Times New Roman" w:cs="Times New Roman"/>
          <w:i/>
          <w:iCs/>
          <w:sz w:val="24"/>
          <w:szCs w:val="24"/>
        </w:rPr>
        <w:t>Journal of Information Privacy and Security</w:t>
      </w:r>
      <w:r w:rsidRPr="004E258D">
        <w:rPr>
          <w:rFonts w:ascii="Times New Roman" w:eastAsia="Times New Roman" w:hAnsi="Times New Roman" w:cs="Times New Roman"/>
          <w:sz w:val="24"/>
          <w:szCs w:val="24"/>
        </w:rPr>
        <w:t>, 14(3), 85-104.</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4E258D">
        <w:rPr>
          <w:rFonts w:ascii="Times New Roman" w:eastAsia="Times New Roman" w:hAnsi="Times New Roman" w:cs="Times New Roman"/>
          <w:sz w:val="24"/>
          <w:szCs w:val="24"/>
        </w:rPr>
        <w:t>Ketter</w:t>
      </w:r>
      <w:proofErr w:type="spellEnd"/>
      <w:r w:rsidRPr="004E258D">
        <w:rPr>
          <w:rFonts w:ascii="Times New Roman" w:eastAsia="Times New Roman" w:hAnsi="Times New Roman" w:cs="Times New Roman"/>
          <w:sz w:val="24"/>
          <w:szCs w:val="24"/>
        </w:rPr>
        <w:t xml:space="preserve">, L., &amp; </w:t>
      </w:r>
      <w:proofErr w:type="spellStart"/>
      <w:r w:rsidRPr="004E258D">
        <w:rPr>
          <w:rFonts w:ascii="Times New Roman" w:eastAsia="Times New Roman" w:hAnsi="Times New Roman" w:cs="Times New Roman"/>
          <w:sz w:val="24"/>
          <w:szCs w:val="24"/>
        </w:rPr>
        <w:t>Kapsali</w:t>
      </w:r>
      <w:proofErr w:type="spellEnd"/>
      <w:r w:rsidRPr="004E258D">
        <w:rPr>
          <w:rFonts w:ascii="Times New Roman" w:eastAsia="Times New Roman" w:hAnsi="Times New Roman" w:cs="Times New Roman"/>
          <w:sz w:val="24"/>
          <w:szCs w:val="24"/>
        </w:rPr>
        <w:t xml:space="preserve">, M. (2020). Digital platforms and retail: A review of challenges and opportunities. </w:t>
      </w:r>
      <w:r w:rsidRPr="004E258D">
        <w:rPr>
          <w:rFonts w:ascii="Times New Roman" w:eastAsia="Times New Roman" w:hAnsi="Times New Roman" w:cs="Times New Roman"/>
          <w:i/>
          <w:iCs/>
          <w:sz w:val="24"/>
          <w:szCs w:val="24"/>
        </w:rPr>
        <w:t>Journal of Retailing</w:t>
      </w:r>
      <w:r w:rsidRPr="004E258D">
        <w:rPr>
          <w:rFonts w:ascii="Times New Roman" w:eastAsia="Times New Roman" w:hAnsi="Times New Roman" w:cs="Times New Roman"/>
          <w:sz w:val="24"/>
          <w:szCs w:val="24"/>
        </w:rPr>
        <w:t>, 96(2), 129-146.</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Kim, Y., et al. (2019). Consumer trust and loyalty in integrated retail and financial services. </w:t>
      </w:r>
      <w:r w:rsidRPr="004E258D">
        <w:rPr>
          <w:rFonts w:ascii="Times New Roman" w:eastAsia="Times New Roman" w:hAnsi="Times New Roman" w:cs="Times New Roman"/>
          <w:i/>
          <w:iCs/>
          <w:sz w:val="24"/>
          <w:szCs w:val="24"/>
        </w:rPr>
        <w:t>Journal of Retailing and Consumer Services</w:t>
      </w:r>
      <w:r w:rsidRPr="004E258D">
        <w:rPr>
          <w:rFonts w:ascii="Times New Roman" w:eastAsia="Times New Roman" w:hAnsi="Times New Roman" w:cs="Times New Roman"/>
          <w:sz w:val="24"/>
          <w:szCs w:val="24"/>
        </w:rPr>
        <w:t>, 49, 206-214.</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4E258D">
        <w:rPr>
          <w:rFonts w:ascii="Times New Roman" w:eastAsia="Times New Roman" w:hAnsi="Times New Roman" w:cs="Times New Roman"/>
          <w:sz w:val="24"/>
          <w:szCs w:val="24"/>
        </w:rPr>
        <w:lastRenderedPageBreak/>
        <w:t>Lusardi</w:t>
      </w:r>
      <w:proofErr w:type="spellEnd"/>
      <w:r w:rsidRPr="004E258D">
        <w:rPr>
          <w:rFonts w:ascii="Times New Roman" w:eastAsia="Times New Roman" w:hAnsi="Times New Roman" w:cs="Times New Roman"/>
          <w:sz w:val="24"/>
          <w:szCs w:val="24"/>
        </w:rPr>
        <w:t xml:space="preserve">, A., &amp; Mitchell, O. S. (2014). The economic importance of financial literacy: Theory and evidence. </w:t>
      </w:r>
      <w:r w:rsidRPr="004E258D">
        <w:rPr>
          <w:rFonts w:ascii="Times New Roman" w:eastAsia="Times New Roman" w:hAnsi="Times New Roman" w:cs="Times New Roman"/>
          <w:i/>
          <w:iCs/>
          <w:sz w:val="24"/>
          <w:szCs w:val="24"/>
        </w:rPr>
        <w:t>Journal of Economic Literature</w:t>
      </w:r>
      <w:r w:rsidRPr="004E258D">
        <w:rPr>
          <w:rFonts w:ascii="Times New Roman" w:eastAsia="Times New Roman" w:hAnsi="Times New Roman" w:cs="Times New Roman"/>
          <w:sz w:val="24"/>
          <w:szCs w:val="24"/>
        </w:rPr>
        <w:t>, 52(1), 5-44.</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Miller, R. (2020). Personal finance and budgeting: Strategies for financial success. </w:t>
      </w:r>
      <w:r w:rsidRPr="004E258D">
        <w:rPr>
          <w:rFonts w:ascii="Times New Roman" w:eastAsia="Times New Roman" w:hAnsi="Times New Roman" w:cs="Times New Roman"/>
          <w:i/>
          <w:iCs/>
          <w:sz w:val="24"/>
          <w:szCs w:val="24"/>
        </w:rPr>
        <w:t>Financial Planning Review</w:t>
      </w:r>
      <w:r w:rsidRPr="004E258D">
        <w:rPr>
          <w:rFonts w:ascii="Times New Roman" w:eastAsia="Times New Roman" w:hAnsi="Times New Roman" w:cs="Times New Roman"/>
          <w:sz w:val="24"/>
          <w:szCs w:val="24"/>
        </w:rPr>
        <w:t>, 32(1), 50-67.</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Sharp, B. (2018). Loyalty programs and customer retention in supermarkets. </w:t>
      </w:r>
      <w:r w:rsidRPr="004E258D">
        <w:rPr>
          <w:rFonts w:ascii="Times New Roman" w:eastAsia="Times New Roman" w:hAnsi="Times New Roman" w:cs="Times New Roman"/>
          <w:i/>
          <w:iCs/>
          <w:sz w:val="24"/>
          <w:szCs w:val="24"/>
        </w:rPr>
        <w:t>Journal of Marketing Research</w:t>
      </w:r>
      <w:r w:rsidRPr="004E258D">
        <w:rPr>
          <w:rFonts w:ascii="Times New Roman" w:eastAsia="Times New Roman" w:hAnsi="Times New Roman" w:cs="Times New Roman"/>
          <w:sz w:val="24"/>
          <w:szCs w:val="24"/>
        </w:rPr>
        <w:t>, 55(4), 526-543.</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Shao, L., et al. (2019). The challenges of integrating finance and retail systems: Technical perspectives. </w:t>
      </w:r>
      <w:r w:rsidRPr="004E258D">
        <w:rPr>
          <w:rFonts w:ascii="Times New Roman" w:eastAsia="Times New Roman" w:hAnsi="Times New Roman" w:cs="Times New Roman"/>
          <w:i/>
          <w:iCs/>
          <w:sz w:val="24"/>
          <w:szCs w:val="24"/>
        </w:rPr>
        <w:t>Journal of Financial Technology</w:t>
      </w:r>
      <w:r w:rsidRPr="004E258D">
        <w:rPr>
          <w:rFonts w:ascii="Times New Roman" w:eastAsia="Times New Roman" w:hAnsi="Times New Roman" w:cs="Times New Roman"/>
          <w:sz w:val="24"/>
          <w:szCs w:val="24"/>
        </w:rPr>
        <w:t>, 8(2), 67-89.</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Sung, S. (2019). Mobile applications for budgeting: A review of the market. </w:t>
      </w:r>
      <w:r w:rsidRPr="004E258D">
        <w:rPr>
          <w:rFonts w:ascii="Times New Roman" w:eastAsia="Times New Roman" w:hAnsi="Times New Roman" w:cs="Times New Roman"/>
          <w:i/>
          <w:iCs/>
          <w:sz w:val="24"/>
          <w:szCs w:val="24"/>
        </w:rPr>
        <w:t>Journal of Financial Technology Innovation</w:t>
      </w:r>
      <w:r w:rsidRPr="004E258D">
        <w:rPr>
          <w:rFonts w:ascii="Times New Roman" w:eastAsia="Times New Roman" w:hAnsi="Times New Roman" w:cs="Times New Roman"/>
          <w:sz w:val="24"/>
          <w:szCs w:val="24"/>
        </w:rPr>
        <w:t>, 15(3), 210-220.</w:t>
      </w:r>
    </w:p>
    <w:p w:rsidR="004E258D" w:rsidRPr="004E258D" w:rsidRDefault="004E258D" w:rsidP="004E258D">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4E258D">
        <w:rPr>
          <w:rFonts w:ascii="Times New Roman" w:eastAsia="Times New Roman" w:hAnsi="Times New Roman" w:cs="Times New Roman"/>
          <w:sz w:val="24"/>
          <w:szCs w:val="24"/>
        </w:rPr>
        <w:t xml:space="preserve">Xiao, J. J., et al. (2018). The role of financial technology in improving financial literacy and decision-making. </w:t>
      </w:r>
      <w:r w:rsidRPr="004E258D">
        <w:rPr>
          <w:rFonts w:ascii="Times New Roman" w:eastAsia="Times New Roman" w:hAnsi="Times New Roman" w:cs="Times New Roman"/>
          <w:i/>
          <w:iCs/>
          <w:sz w:val="24"/>
          <w:szCs w:val="24"/>
        </w:rPr>
        <w:t>Journal of Financial Counseling and Planning</w:t>
      </w:r>
      <w:r w:rsidRPr="004E258D">
        <w:rPr>
          <w:rFonts w:ascii="Times New Roman" w:eastAsia="Times New Roman" w:hAnsi="Times New Roman" w:cs="Times New Roman"/>
          <w:sz w:val="24"/>
          <w:szCs w:val="24"/>
        </w:rPr>
        <w:t>, 29(1), 17-29.</w:t>
      </w:r>
    </w:p>
    <w:p w:rsidR="008754EF" w:rsidRPr="004E258D" w:rsidRDefault="008754EF" w:rsidP="004E258D">
      <w:pPr>
        <w:spacing w:line="480" w:lineRule="auto"/>
        <w:jc w:val="both"/>
        <w:rPr>
          <w:sz w:val="24"/>
          <w:szCs w:val="24"/>
        </w:rPr>
      </w:pPr>
      <w:bookmarkStart w:id="0" w:name="_GoBack"/>
      <w:bookmarkEnd w:id="0"/>
    </w:p>
    <w:sectPr w:rsidR="008754EF" w:rsidRPr="004E2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E794E"/>
    <w:multiLevelType w:val="multilevel"/>
    <w:tmpl w:val="05D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8D"/>
    <w:rsid w:val="004E258D"/>
    <w:rsid w:val="0087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2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25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5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258D"/>
    <w:rPr>
      <w:rFonts w:ascii="Times New Roman" w:eastAsia="Times New Roman" w:hAnsi="Times New Roman" w:cs="Times New Roman"/>
      <w:b/>
      <w:bCs/>
      <w:sz w:val="24"/>
      <w:szCs w:val="24"/>
    </w:rPr>
  </w:style>
  <w:style w:type="character" w:styleId="Strong">
    <w:name w:val="Strong"/>
    <w:basedOn w:val="DefaultParagraphFont"/>
    <w:uiPriority w:val="22"/>
    <w:qFormat/>
    <w:rsid w:val="004E258D"/>
    <w:rPr>
      <w:b/>
      <w:bCs/>
    </w:rPr>
  </w:style>
  <w:style w:type="paragraph" w:styleId="NormalWeb">
    <w:name w:val="Normal (Web)"/>
    <w:basedOn w:val="Normal"/>
    <w:uiPriority w:val="99"/>
    <w:semiHidden/>
    <w:unhideWhenUsed/>
    <w:rsid w:val="004E25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25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2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25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5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258D"/>
    <w:rPr>
      <w:rFonts w:ascii="Times New Roman" w:eastAsia="Times New Roman" w:hAnsi="Times New Roman" w:cs="Times New Roman"/>
      <w:b/>
      <w:bCs/>
      <w:sz w:val="24"/>
      <w:szCs w:val="24"/>
    </w:rPr>
  </w:style>
  <w:style w:type="character" w:styleId="Strong">
    <w:name w:val="Strong"/>
    <w:basedOn w:val="DefaultParagraphFont"/>
    <w:uiPriority w:val="22"/>
    <w:qFormat/>
    <w:rsid w:val="004E258D"/>
    <w:rPr>
      <w:b/>
      <w:bCs/>
    </w:rPr>
  </w:style>
  <w:style w:type="paragraph" w:styleId="NormalWeb">
    <w:name w:val="Normal (Web)"/>
    <w:basedOn w:val="Normal"/>
    <w:uiPriority w:val="99"/>
    <w:semiHidden/>
    <w:unhideWhenUsed/>
    <w:rsid w:val="004E25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25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05004">
      <w:bodyDiv w:val="1"/>
      <w:marLeft w:val="0"/>
      <w:marRight w:val="0"/>
      <w:marTop w:val="0"/>
      <w:marBottom w:val="0"/>
      <w:divBdr>
        <w:top w:val="none" w:sz="0" w:space="0" w:color="auto"/>
        <w:left w:val="none" w:sz="0" w:space="0" w:color="auto"/>
        <w:bottom w:val="none" w:sz="0" w:space="0" w:color="auto"/>
        <w:right w:val="none" w:sz="0" w:space="0" w:color="auto"/>
      </w:divBdr>
    </w:div>
    <w:div w:id="14426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Adamu Abubakar</dc:creator>
  <cp:lastModifiedBy>Adamu Abubakar</cp:lastModifiedBy>
  <cp:revision>1</cp:revision>
  <dcterms:created xsi:type="dcterms:W3CDTF">2025-01-11T03:32:00Z</dcterms:created>
  <dcterms:modified xsi:type="dcterms:W3CDTF">2025-01-11T03:37:00Z</dcterms:modified>
</cp:coreProperties>
</file>