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C44E73" w14:textId="77777777" w:rsidR="00200B5E" w:rsidRDefault="003D4EEC">
      <w:pPr>
        <w:spacing w:after="200"/>
        <w:jc w:val="center"/>
      </w:pPr>
      <w:r>
        <w:rPr>
          <w:noProof/>
        </w:rPr>
        <w:drawing>
          <wp:inline distT="0" distB="0" distL="0" distR="0" wp14:anchorId="676AC830" wp14:editId="068EC8C9">
            <wp:extent cx="5715000" cy="3505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05200"/>
                    </a:xfrm>
                    <a:prstGeom prst="rect">
                      <a:avLst/>
                    </a:prstGeom>
                  </pic:spPr>
                </pic:pic>
              </a:graphicData>
            </a:graphic>
          </wp:inline>
        </w:drawing>
      </w:r>
    </w:p>
    <w:p w14:paraId="260263D3" w14:textId="77777777" w:rsidR="00200B5E" w:rsidRDefault="003D4EEC">
      <w:pPr>
        <w:spacing w:before="200" w:after="100"/>
        <w:jc w:val="center"/>
      </w:pPr>
      <w:proofErr w:type="spellStart"/>
      <w:r>
        <w:rPr>
          <w:b/>
          <w:bCs/>
          <w:color w:val="4B1A6B"/>
          <w:sz w:val="52"/>
          <w:szCs w:val="52"/>
        </w:rPr>
        <w:t>Patentame</w:t>
      </w:r>
      <w:proofErr w:type="spellEnd"/>
    </w:p>
    <w:p w14:paraId="44BC6B85" w14:textId="77777777" w:rsidR="00200B5E" w:rsidRDefault="003D4EEC">
      <w:pPr>
        <w:spacing w:after="80"/>
        <w:jc w:val="center"/>
      </w:pPr>
      <w:r>
        <w:rPr>
          <w:i/>
          <w:iCs/>
          <w:color w:val="7B2D8B"/>
          <w:sz w:val="32"/>
          <w:szCs w:val="32"/>
        </w:rPr>
        <w:t>Redactar una patente ya no es privilegio de pocos</w:t>
      </w:r>
    </w:p>
    <w:p w14:paraId="0B75AD4E" w14:textId="77777777" w:rsidR="00200B5E" w:rsidRDefault="003D4EEC">
      <w:pPr>
        <w:pBdr>
          <w:bottom w:val="single" w:sz="6" w:space="8" w:color="E8D5F5"/>
        </w:pBdr>
        <w:spacing w:before="80" w:after="80"/>
        <w:jc w:val="center"/>
      </w:pPr>
      <w:r>
        <w:rPr>
          <w:color w:val="4A4A6A"/>
        </w:rPr>
        <w:t xml:space="preserve">Una propuesta de herramienta digital de código abierto para la gestión tecnológica en universidades y </w:t>
      </w:r>
      <w:proofErr w:type="spellStart"/>
      <w:r>
        <w:rPr>
          <w:color w:val="4A4A6A"/>
        </w:rPr>
        <w:t>CITEs</w:t>
      </w:r>
      <w:proofErr w:type="spellEnd"/>
      <w:r>
        <w:rPr>
          <w:color w:val="4A4A6A"/>
        </w:rPr>
        <w:t xml:space="preserve"> del Perú</w:t>
      </w:r>
    </w:p>
    <w:p w14:paraId="3C863099" w14:textId="77777777" w:rsidR="00200B5E" w:rsidRDefault="00200B5E">
      <w:pPr>
        <w:spacing w:after="200"/>
      </w:pPr>
    </w:p>
    <w:p w14:paraId="03033E52" w14:textId="77777777" w:rsidR="00200B5E" w:rsidRDefault="003D4EEC">
      <w:r>
        <w:br w:type="page"/>
      </w:r>
    </w:p>
    <w:p w14:paraId="2E7A7002" w14:textId="77777777" w:rsidR="00200B5E" w:rsidRDefault="003D4EEC">
      <w:pPr>
        <w:pStyle w:val="Ttulo1"/>
        <w:pBdr>
          <w:bottom w:val="single" w:sz="8" w:space="6" w:color="7B2D8B"/>
        </w:pBdr>
      </w:pPr>
      <w:r>
        <w:lastRenderedPageBreak/>
        <w:t>1. El problema que nadie quiere nombrar</w:t>
      </w:r>
    </w:p>
    <w:p w14:paraId="2A27DA9E" w14:textId="77777777" w:rsidR="00200B5E" w:rsidRDefault="003D4EEC">
      <w:pPr>
        <w:spacing w:before="120" w:after="120"/>
        <w:jc w:val="both"/>
      </w:pPr>
      <w:r>
        <w:t xml:space="preserve">El Perú tiene un problema que sus estadísticas de innovación revelan con crudeza: </w:t>
      </w:r>
      <w:r>
        <w:rPr>
          <w:b/>
          <w:bCs/>
          <w:color w:val="4B1A6B"/>
        </w:rPr>
        <w:t xml:space="preserve">produce </w:t>
      </w:r>
      <w:proofErr w:type="gramStart"/>
      <w:r>
        <w:rPr>
          <w:b/>
          <w:bCs/>
          <w:color w:val="4B1A6B"/>
        </w:rPr>
        <w:t>ciencia</w:t>
      </w:r>
      <w:proofErr w:type="gramEnd"/>
      <w:r>
        <w:rPr>
          <w:b/>
          <w:bCs/>
          <w:color w:val="4B1A6B"/>
        </w:rPr>
        <w:t xml:space="preserve"> pero no la convierte en propiedad intelectual.</w:t>
      </w:r>
      <w:r>
        <w:t xml:space="preserve"> La brecha entre publicaciones científicas y solicitudes de patentes —estimada en aproximadamente </w:t>
      </w:r>
      <w:r>
        <w:rPr>
          <w:b/>
          <w:bCs/>
          <w:color w:val="C0550B"/>
        </w:rPr>
        <w:t>35 publicaciones por cada solicitud de patente</w:t>
      </w:r>
      <w:r>
        <w:t xml:space="preserve">— no es un accidente. Es el síntoma de un ecosistema que premia la divulgación </w:t>
      </w:r>
      <w:proofErr w:type="gramStart"/>
      <w:r>
        <w:t>académica</w:t>
      </w:r>
      <w:proofErr w:type="gramEnd"/>
      <w:r>
        <w:t xml:space="preserve"> pero carece de los mecanismos, la cultura y, sobre todo, las herramientas para dar el siguiente paso: registrar, proteger y transferir tecnología.</w:t>
      </w:r>
    </w:p>
    <w:p w14:paraId="55FA9A5E" w14:textId="77777777" w:rsidR="00200B5E" w:rsidRDefault="00200B5E">
      <w:pPr>
        <w:spacing w:after="80"/>
      </w:pPr>
    </w:p>
    <w:p w14:paraId="0A00E01E" w14:textId="77777777" w:rsidR="00200B5E" w:rsidRDefault="003D4EEC">
      <w:pPr>
        <w:spacing w:before="120" w:after="120"/>
        <w:jc w:val="both"/>
      </w:pPr>
      <w:r>
        <w:t xml:space="preserve">Este artículo no pretende ser una celebración acrítica de una herramienta tecnológica. Es, en todo caso, una invitación a reflexionar sobre por qué </w:t>
      </w:r>
      <w:r>
        <w:rPr>
          <w:b/>
          <w:bCs/>
          <w:color w:val="4B1A6B"/>
        </w:rPr>
        <w:t>una aplicación de código abierto disponible gratuitamente en GitHub puede representar un punto de inflexión</w:t>
      </w:r>
      <w:r>
        <w:t xml:space="preserve"> para gestores tecnológicos, investigadores y emprendedores que operan en un sistema que —con honestidad— no ha sabido democratizar el patentamiento.</w:t>
      </w:r>
    </w:p>
    <w:p w14:paraId="5EA29BD0" w14:textId="77777777" w:rsidR="00200B5E" w:rsidRDefault="00200B5E">
      <w:pPr>
        <w:spacing w:after="80"/>
      </w:pPr>
    </w:p>
    <w:p w14:paraId="1F406E41" w14:textId="77777777" w:rsidR="00200B5E" w:rsidRDefault="003D4EEC">
      <w:pPr>
        <w:spacing w:before="120" w:after="120"/>
        <w:jc w:val="both"/>
      </w:pPr>
      <w:proofErr w:type="spellStart"/>
      <w:r>
        <w:rPr>
          <w:b/>
          <w:bCs/>
          <w:color w:val="4B1A6B"/>
        </w:rPr>
        <w:t>Patentame</w:t>
      </w:r>
      <w:proofErr w:type="spellEnd"/>
      <w:r>
        <w:t xml:space="preserve"> (repositorio: </w:t>
      </w:r>
      <w:r>
        <w:rPr>
          <w:i/>
          <w:iCs/>
          <w:color w:val="4A4A6A"/>
        </w:rPr>
        <w:t>github.com/</w:t>
      </w:r>
      <w:proofErr w:type="spellStart"/>
      <w:r>
        <w:rPr>
          <w:i/>
          <w:iCs/>
          <w:color w:val="4A4A6A"/>
        </w:rPr>
        <w:t>scientificbroker</w:t>
      </w:r>
      <w:proofErr w:type="spellEnd"/>
      <w:r>
        <w:rPr>
          <w:i/>
          <w:iCs/>
          <w:color w:val="4A4A6A"/>
        </w:rPr>
        <w:t>/</w:t>
      </w:r>
      <w:proofErr w:type="spellStart"/>
      <w:r>
        <w:rPr>
          <w:i/>
          <w:iCs/>
          <w:color w:val="4A4A6A"/>
        </w:rPr>
        <w:t>Patentame</w:t>
      </w:r>
      <w:proofErr w:type="spellEnd"/>
      <w:r>
        <w:t>) es un asistente multilingüe, paso a paso, para redactar solicitudes de patentes de invención y modelos de utilidad conforme a las directrices de la OMPI/WIPO. No resuelve todos los problemas del ecosistema peruano de innovación. Pero toca exactamente el punto donde más se necesita ayuda: el momento en que un investigador o emprendedor tiene una idea patentable y no sabe por dónde empezar.</w:t>
      </w:r>
    </w:p>
    <w:p w14:paraId="05D2787A" w14:textId="77777777" w:rsidR="00200B5E" w:rsidRDefault="00200B5E">
      <w:pPr>
        <w:spacing w:after="120"/>
      </w:pPr>
    </w:p>
    <w:p w14:paraId="76649105" w14:textId="77777777" w:rsidR="00200B5E" w:rsidRDefault="003D4EEC">
      <w:pPr>
        <w:pStyle w:val="Ttulo1"/>
        <w:pBdr>
          <w:bottom w:val="single" w:sz="8" w:space="6" w:color="7B2D8B"/>
        </w:pBdr>
      </w:pPr>
      <w:r>
        <w:t>2. El diagnóstico: cifras que incomodan</w:t>
      </w:r>
    </w:p>
    <w:p w14:paraId="0B1C6F92" w14:textId="77777777" w:rsidR="00200B5E" w:rsidRDefault="003D4EEC">
      <w:pPr>
        <w:spacing w:before="120" w:after="120"/>
        <w:jc w:val="both"/>
      </w:pPr>
      <w:r>
        <w:t xml:space="preserve">Antes de hablar de soluciones, vale la pena mirar los datos sin complacencia. Perú </w:t>
      </w:r>
      <w:r>
        <w:rPr>
          <w:b/>
          <w:bCs/>
          <w:color w:val="4B1A6B"/>
        </w:rPr>
        <w:t>no está en la base de la tabla regional por casualidad.</w:t>
      </w:r>
      <w:r>
        <w:t xml:space="preserve"> Las cifras de la OMPI para 2024 son reveladoras.</w:t>
      </w:r>
    </w:p>
    <w:p w14:paraId="5CF0E62A" w14:textId="77777777" w:rsidR="00200B5E" w:rsidRDefault="00200B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5"/>
        <w:gridCol w:w="1298"/>
        <w:gridCol w:w="1309"/>
        <w:gridCol w:w="1300"/>
        <w:gridCol w:w="1304"/>
        <w:gridCol w:w="1024"/>
      </w:tblGrid>
      <w:tr w:rsidR="00200B5E" w14:paraId="700ABE9E"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4B1A6B"/>
            <w:tcMar>
              <w:top w:w="80" w:type="dxa"/>
              <w:left w:w="110" w:type="dxa"/>
              <w:bottom w:w="80" w:type="dxa"/>
              <w:right w:w="110" w:type="dxa"/>
            </w:tcMar>
            <w:vAlign w:val="center"/>
          </w:tcPr>
          <w:p w14:paraId="20BAC6F4" w14:textId="77777777" w:rsidR="00200B5E" w:rsidRDefault="003D4EEC">
            <w:pPr>
              <w:jc w:val="center"/>
            </w:pPr>
            <w:r>
              <w:rPr>
                <w:b/>
                <w:bCs/>
                <w:color w:val="FFFFFF"/>
                <w:sz w:val="18"/>
                <w:szCs w:val="18"/>
              </w:rPr>
              <w:t>Indicador</w:t>
            </w:r>
          </w:p>
        </w:tc>
        <w:tc>
          <w:tcPr>
            <w:tcW w:w="1320" w:type="dxa"/>
            <w:tcBorders>
              <w:top w:val="single" w:sz="1" w:space="0" w:color="CCCCCC"/>
              <w:left w:val="single" w:sz="1" w:space="0" w:color="CCCCCC"/>
              <w:bottom w:val="single" w:sz="1" w:space="0" w:color="CCCCCC"/>
              <w:right w:val="single" w:sz="1" w:space="0" w:color="CCCCCC"/>
            </w:tcBorders>
            <w:shd w:val="clear" w:color="auto" w:fill="4B1A6B"/>
            <w:tcMar>
              <w:top w:w="80" w:type="dxa"/>
              <w:left w:w="110" w:type="dxa"/>
              <w:bottom w:w="80" w:type="dxa"/>
              <w:right w:w="110" w:type="dxa"/>
            </w:tcMar>
            <w:vAlign w:val="center"/>
          </w:tcPr>
          <w:p w14:paraId="386F557C" w14:textId="77777777" w:rsidR="00200B5E" w:rsidRDefault="003D4EEC">
            <w:pPr>
              <w:jc w:val="center"/>
            </w:pPr>
            <w:r>
              <w:rPr>
                <w:b/>
                <w:bCs/>
                <w:color w:val="FFFFFF"/>
                <w:sz w:val="18"/>
                <w:szCs w:val="18"/>
              </w:rPr>
              <w:t>Perú</w:t>
            </w:r>
          </w:p>
        </w:tc>
        <w:tc>
          <w:tcPr>
            <w:tcW w:w="1320" w:type="dxa"/>
            <w:tcBorders>
              <w:top w:val="single" w:sz="1" w:space="0" w:color="CCCCCC"/>
              <w:left w:val="single" w:sz="1" w:space="0" w:color="CCCCCC"/>
              <w:bottom w:val="single" w:sz="1" w:space="0" w:color="CCCCCC"/>
              <w:right w:val="single" w:sz="1" w:space="0" w:color="CCCCCC"/>
            </w:tcBorders>
            <w:shd w:val="clear" w:color="auto" w:fill="4B1A6B"/>
            <w:tcMar>
              <w:top w:w="80" w:type="dxa"/>
              <w:left w:w="110" w:type="dxa"/>
              <w:bottom w:w="80" w:type="dxa"/>
              <w:right w:w="110" w:type="dxa"/>
            </w:tcMar>
            <w:vAlign w:val="center"/>
          </w:tcPr>
          <w:p w14:paraId="222F3D88" w14:textId="77777777" w:rsidR="00200B5E" w:rsidRDefault="003D4EEC">
            <w:pPr>
              <w:jc w:val="center"/>
            </w:pPr>
            <w:r>
              <w:rPr>
                <w:b/>
                <w:bCs/>
                <w:color w:val="FFFFFF"/>
                <w:sz w:val="18"/>
                <w:szCs w:val="18"/>
              </w:rPr>
              <w:t>Colombia</w:t>
            </w:r>
          </w:p>
        </w:tc>
        <w:tc>
          <w:tcPr>
            <w:tcW w:w="1320" w:type="dxa"/>
            <w:tcBorders>
              <w:top w:val="single" w:sz="1" w:space="0" w:color="CCCCCC"/>
              <w:left w:val="single" w:sz="1" w:space="0" w:color="CCCCCC"/>
              <w:bottom w:val="single" w:sz="1" w:space="0" w:color="CCCCCC"/>
              <w:right w:val="single" w:sz="1" w:space="0" w:color="CCCCCC"/>
            </w:tcBorders>
            <w:shd w:val="clear" w:color="auto" w:fill="4B1A6B"/>
            <w:tcMar>
              <w:top w:w="80" w:type="dxa"/>
              <w:left w:w="110" w:type="dxa"/>
              <w:bottom w:w="80" w:type="dxa"/>
              <w:right w:w="110" w:type="dxa"/>
            </w:tcMar>
            <w:vAlign w:val="center"/>
          </w:tcPr>
          <w:p w14:paraId="095848D3" w14:textId="77777777" w:rsidR="00200B5E" w:rsidRDefault="003D4EEC">
            <w:pPr>
              <w:jc w:val="center"/>
            </w:pPr>
            <w:r>
              <w:rPr>
                <w:b/>
                <w:bCs/>
                <w:color w:val="FFFFFF"/>
                <w:sz w:val="18"/>
                <w:szCs w:val="18"/>
              </w:rPr>
              <w:t>Chile</w:t>
            </w:r>
          </w:p>
        </w:tc>
        <w:tc>
          <w:tcPr>
            <w:tcW w:w="1320" w:type="dxa"/>
            <w:tcBorders>
              <w:top w:val="single" w:sz="1" w:space="0" w:color="CCCCCC"/>
              <w:left w:val="single" w:sz="1" w:space="0" w:color="CCCCCC"/>
              <w:bottom w:val="single" w:sz="1" w:space="0" w:color="CCCCCC"/>
              <w:right w:val="single" w:sz="1" w:space="0" w:color="CCCCCC"/>
            </w:tcBorders>
            <w:shd w:val="clear" w:color="auto" w:fill="4B1A6B"/>
            <w:tcMar>
              <w:top w:w="80" w:type="dxa"/>
              <w:left w:w="110" w:type="dxa"/>
              <w:bottom w:w="80" w:type="dxa"/>
              <w:right w:w="110" w:type="dxa"/>
            </w:tcMar>
            <w:vAlign w:val="center"/>
          </w:tcPr>
          <w:p w14:paraId="1AEE85E5" w14:textId="77777777" w:rsidR="00200B5E" w:rsidRDefault="003D4EEC">
            <w:pPr>
              <w:jc w:val="center"/>
            </w:pPr>
            <w:r>
              <w:rPr>
                <w:b/>
                <w:bCs/>
                <w:color w:val="FFFFFF"/>
                <w:sz w:val="18"/>
                <w:szCs w:val="18"/>
              </w:rPr>
              <w:t>México</w:t>
            </w:r>
          </w:p>
        </w:tc>
        <w:tc>
          <w:tcPr>
            <w:tcW w:w="880" w:type="dxa"/>
            <w:tcBorders>
              <w:top w:val="single" w:sz="1" w:space="0" w:color="CCCCCC"/>
              <w:left w:val="single" w:sz="1" w:space="0" w:color="CCCCCC"/>
              <w:bottom w:val="single" w:sz="1" w:space="0" w:color="CCCCCC"/>
              <w:right w:val="single" w:sz="1" w:space="0" w:color="CCCCCC"/>
            </w:tcBorders>
            <w:shd w:val="clear" w:color="auto" w:fill="4B1A6B"/>
            <w:tcMar>
              <w:top w:w="80" w:type="dxa"/>
              <w:left w:w="110" w:type="dxa"/>
              <w:bottom w:w="80" w:type="dxa"/>
              <w:right w:w="110" w:type="dxa"/>
            </w:tcMar>
            <w:vAlign w:val="center"/>
          </w:tcPr>
          <w:p w14:paraId="4B93615B" w14:textId="77777777" w:rsidR="00200B5E" w:rsidRDefault="003D4EEC">
            <w:pPr>
              <w:jc w:val="center"/>
            </w:pPr>
            <w:r>
              <w:rPr>
                <w:b/>
                <w:bCs/>
                <w:color w:val="FFFFFF"/>
                <w:sz w:val="18"/>
                <w:szCs w:val="18"/>
              </w:rPr>
              <w:t>Brasil</w:t>
            </w:r>
          </w:p>
        </w:tc>
      </w:tr>
      <w:tr w:rsidR="00200B5E" w14:paraId="6471385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73F9614" w14:textId="77777777" w:rsidR="00200B5E" w:rsidRDefault="003D4EEC">
            <w:r>
              <w:rPr>
                <w:sz w:val="19"/>
                <w:szCs w:val="19"/>
              </w:rPr>
              <w:t>Solicitudes totales en oficina (invención)</w:t>
            </w:r>
          </w:p>
        </w:tc>
        <w:tc>
          <w:tcPr>
            <w:tcW w:w="132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10" w:type="dxa"/>
              <w:bottom w:w="70" w:type="dxa"/>
              <w:right w:w="110" w:type="dxa"/>
            </w:tcMar>
          </w:tcPr>
          <w:p w14:paraId="0D6D5FA6" w14:textId="77777777" w:rsidR="00200B5E" w:rsidRDefault="003D4EEC">
            <w:pPr>
              <w:jc w:val="center"/>
            </w:pPr>
            <w:r>
              <w:rPr>
                <w:b/>
                <w:bCs/>
                <w:color w:val="4B1A6B"/>
                <w:sz w:val="19"/>
                <w:szCs w:val="19"/>
              </w:rPr>
              <w:t>1,295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7FB29BD" w14:textId="77777777" w:rsidR="00200B5E" w:rsidRDefault="003D4EEC">
            <w:pPr>
              <w:jc w:val="center"/>
            </w:pPr>
            <w:r>
              <w:rPr>
                <w:sz w:val="19"/>
                <w:szCs w:val="19"/>
              </w:rPr>
              <w:t>~2,012</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7D079C" w14:textId="77777777" w:rsidR="00200B5E" w:rsidRDefault="003D4EEC">
            <w:pPr>
              <w:jc w:val="center"/>
            </w:pPr>
            <w:r>
              <w:rPr>
                <w:sz w:val="19"/>
                <w:szCs w:val="19"/>
              </w:rPr>
              <w:t>3,219</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C99BE3F" w14:textId="77777777" w:rsidR="00200B5E" w:rsidRDefault="003D4EEC">
            <w:pPr>
              <w:jc w:val="center"/>
            </w:pPr>
            <w:r>
              <w:rPr>
                <w:sz w:val="19"/>
                <w:szCs w:val="19"/>
              </w:rPr>
              <w:t>16,189</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2430CF" w14:textId="77777777" w:rsidR="00200B5E" w:rsidRDefault="003D4EEC">
            <w:pPr>
              <w:jc w:val="center"/>
            </w:pPr>
            <w:r>
              <w:rPr>
                <w:sz w:val="19"/>
                <w:szCs w:val="19"/>
              </w:rPr>
              <w:t>~25,000+</w:t>
            </w:r>
          </w:p>
        </w:tc>
      </w:tr>
      <w:tr w:rsidR="00200B5E" w14:paraId="21C8B0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668B0B7D" w14:textId="77777777" w:rsidR="00200B5E" w:rsidRDefault="003D4EEC">
            <w:r>
              <w:rPr>
                <w:sz w:val="19"/>
                <w:szCs w:val="19"/>
              </w:rPr>
              <w:t>Solicitudes residentes (invención)</w:t>
            </w:r>
          </w:p>
        </w:tc>
        <w:tc>
          <w:tcPr>
            <w:tcW w:w="132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10" w:type="dxa"/>
              <w:bottom w:w="70" w:type="dxa"/>
              <w:right w:w="110" w:type="dxa"/>
            </w:tcMar>
          </w:tcPr>
          <w:p w14:paraId="7F44B451" w14:textId="77777777" w:rsidR="00200B5E" w:rsidRDefault="003D4EEC">
            <w:pPr>
              <w:jc w:val="center"/>
            </w:pPr>
            <w:r>
              <w:rPr>
                <w:b/>
                <w:bCs/>
                <w:color w:val="4B1A6B"/>
                <w:sz w:val="19"/>
                <w:szCs w:val="19"/>
              </w:rPr>
              <w:t>214</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09C67593" w14:textId="77777777" w:rsidR="00200B5E" w:rsidRDefault="003D4EEC">
            <w:pPr>
              <w:jc w:val="center"/>
            </w:pPr>
            <w:r>
              <w:rPr>
                <w:sz w:val="19"/>
                <w:szCs w:val="19"/>
              </w:rPr>
              <w:t>~265</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1D993C7B" w14:textId="77777777" w:rsidR="00200B5E" w:rsidRDefault="003D4EEC">
            <w:pPr>
              <w:jc w:val="center"/>
            </w:pPr>
            <w:r>
              <w:rPr>
                <w:sz w:val="19"/>
                <w:szCs w:val="19"/>
              </w:rPr>
              <w:t>390</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1AB1F761" w14:textId="77777777" w:rsidR="00200B5E" w:rsidRDefault="003D4EEC">
            <w:pPr>
              <w:jc w:val="center"/>
            </w:pPr>
            <w:r>
              <w:rPr>
                <w:sz w:val="19"/>
                <w:szCs w:val="19"/>
              </w:rPr>
              <w:t>1,172</w:t>
            </w:r>
          </w:p>
        </w:tc>
        <w:tc>
          <w:tcPr>
            <w:tcW w:w="88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386BFCA9" w14:textId="77777777" w:rsidR="00200B5E" w:rsidRDefault="003D4EEC">
            <w:pPr>
              <w:jc w:val="center"/>
            </w:pPr>
            <w:r>
              <w:rPr>
                <w:sz w:val="19"/>
                <w:szCs w:val="19"/>
              </w:rPr>
              <w:t>~5,000+</w:t>
            </w:r>
          </w:p>
        </w:tc>
      </w:tr>
      <w:tr w:rsidR="00200B5E" w14:paraId="1286352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B2C7358" w14:textId="77777777" w:rsidR="00200B5E" w:rsidRDefault="003D4EEC">
            <w:r>
              <w:rPr>
                <w:sz w:val="19"/>
                <w:szCs w:val="19"/>
              </w:rPr>
              <w:t>Participación no residentes</w:t>
            </w:r>
          </w:p>
        </w:tc>
        <w:tc>
          <w:tcPr>
            <w:tcW w:w="132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10" w:type="dxa"/>
              <w:bottom w:w="70" w:type="dxa"/>
              <w:right w:w="110" w:type="dxa"/>
            </w:tcMar>
          </w:tcPr>
          <w:p w14:paraId="6351B78E" w14:textId="77777777" w:rsidR="00200B5E" w:rsidRDefault="003D4EEC">
            <w:pPr>
              <w:jc w:val="center"/>
            </w:pPr>
            <w:r>
              <w:rPr>
                <w:b/>
                <w:bCs/>
                <w:color w:val="4B1A6B"/>
                <w:sz w:val="19"/>
                <w:szCs w:val="19"/>
              </w:rPr>
              <w:t>83.5%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FBB274" w14:textId="77777777" w:rsidR="00200B5E" w:rsidRDefault="003D4EEC">
            <w:pPr>
              <w:jc w:val="center"/>
            </w:pPr>
            <w:r>
              <w:rPr>
                <w:sz w:val="19"/>
                <w:szCs w:val="19"/>
              </w:rPr>
              <w:t>86.8%</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F9ED3F" w14:textId="77777777" w:rsidR="00200B5E" w:rsidRDefault="003D4EEC">
            <w:pPr>
              <w:jc w:val="center"/>
            </w:pPr>
            <w:r>
              <w:rPr>
                <w:sz w:val="19"/>
                <w:szCs w:val="19"/>
              </w:rPr>
              <w:t>87.9%</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90F7350" w14:textId="77777777" w:rsidR="00200B5E" w:rsidRDefault="003D4EEC">
            <w:pPr>
              <w:jc w:val="center"/>
            </w:pPr>
            <w:r>
              <w:rPr>
                <w:sz w:val="19"/>
                <w:szCs w:val="19"/>
              </w:rPr>
              <w:t>92.8%</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0C78D57" w14:textId="77777777" w:rsidR="00200B5E" w:rsidRDefault="003D4EEC">
            <w:pPr>
              <w:jc w:val="center"/>
            </w:pPr>
            <w:r>
              <w:rPr>
                <w:sz w:val="19"/>
                <w:szCs w:val="19"/>
              </w:rPr>
              <w:t>~80%</w:t>
            </w:r>
          </w:p>
        </w:tc>
      </w:tr>
      <w:tr w:rsidR="00200B5E" w14:paraId="058539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41B2A869" w14:textId="77777777" w:rsidR="00200B5E" w:rsidRDefault="003D4EEC">
            <w:r>
              <w:rPr>
                <w:sz w:val="19"/>
                <w:szCs w:val="19"/>
              </w:rPr>
              <w:t>Modelos de utilidad</w:t>
            </w:r>
          </w:p>
        </w:tc>
        <w:tc>
          <w:tcPr>
            <w:tcW w:w="132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10" w:type="dxa"/>
              <w:bottom w:w="70" w:type="dxa"/>
              <w:right w:w="110" w:type="dxa"/>
            </w:tcMar>
          </w:tcPr>
          <w:p w14:paraId="7DF38C4C" w14:textId="77777777" w:rsidR="00200B5E" w:rsidRDefault="003D4EEC">
            <w:pPr>
              <w:jc w:val="center"/>
            </w:pPr>
            <w:r>
              <w:rPr>
                <w:b/>
                <w:bCs/>
                <w:color w:val="4B1A6B"/>
                <w:sz w:val="19"/>
                <w:szCs w:val="19"/>
              </w:rPr>
              <w:t>706</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035A3CBE" w14:textId="77777777" w:rsidR="00200B5E" w:rsidRDefault="003D4EEC">
            <w:pPr>
              <w:jc w:val="center"/>
            </w:pPr>
            <w:r>
              <w:rPr>
                <w:sz w:val="19"/>
                <w:szCs w:val="19"/>
              </w:rPr>
              <w:t>N/D</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37D905B0" w14:textId="77777777" w:rsidR="00200B5E" w:rsidRDefault="003D4EEC">
            <w:pPr>
              <w:jc w:val="center"/>
            </w:pPr>
            <w:r>
              <w:rPr>
                <w:sz w:val="19"/>
                <w:szCs w:val="19"/>
              </w:rPr>
              <w:t>147</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1BBC016A" w14:textId="77777777" w:rsidR="00200B5E" w:rsidRDefault="003D4EEC">
            <w:pPr>
              <w:jc w:val="center"/>
            </w:pPr>
            <w:r>
              <w:rPr>
                <w:sz w:val="19"/>
                <w:szCs w:val="19"/>
              </w:rPr>
              <w:t>580</w:t>
            </w:r>
          </w:p>
        </w:tc>
        <w:tc>
          <w:tcPr>
            <w:tcW w:w="88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168EF622" w14:textId="77777777" w:rsidR="00200B5E" w:rsidRDefault="003D4EEC">
            <w:pPr>
              <w:jc w:val="center"/>
            </w:pPr>
            <w:r>
              <w:rPr>
                <w:sz w:val="19"/>
                <w:szCs w:val="19"/>
              </w:rPr>
              <w:t>~2,400</w:t>
            </w:r>
          </w:p>
        </w:tc>
      </w:tr>
      <w:tr w:rsidR="00200B5E" w14:paraId="37CFE86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306C024" w14:textId="77777777" w:rsidR="00200B5E" w:rsidRDefault="003D4EEC">
            <w:r>
              <w:rPr>
                <w:sz w:val="19"/>
                <w:szCs w:val="19"/>
              </w:rPr>
              <w:t>Solicitudes de origen mundial (residentes)</w:t>
            </w:r>
          </w:p>
        </w:tc>
        <w:tc>
          <w:tcPr>
            <w:tcW w:w="132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10" w:type="dxa"/>
              <w:bottom w:w="70" w:type="dxa"/>
              <w:right w:w="110" w:type="dxa"/>
            </w:tcMar>
          </w:tcPr>
          <w:p w14:paraId="1506030B" w14:textId="77777777" w:rsidR="00200B5E" w:rsidRDefault="003D4EEC">
            <w:pPr>
              <w:jc w:val="center"/>
            </w:pPr>
            <w:r>
              <w:rPr>
                <w:b/>
                <w:bCs/>
                <w:color w:val="4B1A6B"/>
                <w:sz w:val="19"/>
                <w:szCs w:val="19"/>
              </w:rPr>
              <w:t>270</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AF67EF" w14:textId="77777777" w:rsidR="00200B5E" w:rsidRDefault="003D4EEC">
            <w:pPr>
              <w:jc w:val="center"/>
            </w:pPr>
            <w:r>
              <w:rPr>
                <w:sz w:val="19"/>
                <w:szCs w:val="19"/>
              </w:rPr>
              <w:t>N/D</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E32F25F" w14:textId="77777777" w:rsidR="00200B5E" w:rsidRDefault="003D4EEC">
            <w:pPr>
              <w:jc w:val="center"/>
            </w:pPr>
            <w:r>
              <w:rPr>
                <w:sz w:val="19"/>
                <w:szCs w:val="19"/>
              </w:rPr>
              <w:t>855</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3890958" w14:textId="77777777" w:rsidR="00200B5E" w:rsidRDefault="003D4EEC">
            <w:pPr>
              <w:jc w:val="center"/>
            </w:pPr>
            <w:r>
              <w:rPr>
                <w:sz w:val="19"/>
                <w:szCs w:val="19"/>
              </w:rPr>
              <w:t>1,913</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B383ED8" w14:textId="77777777" w:rsidR="00200B5E" w:rsidRDefault="003D4EEC">
            <w:pPr>
              <w:jc w:val="center"/>
            </w:pPr>
            <w:r>
              <w:rPr>
                <w:sz w:val="19"/>
                <w:szCs w:val="19"/>
              </w:rPr>
              <w:t>7,298</w:t>
            </w:r>
          </w:p>
        </w:tc>
      </w:tr>
      <w:tr w:rsidR="00200B5E" w14:paraId="78405DC1"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3E1425C4" w14:textId="77777777" w:rsidR="00200B5E" w:rsidRDefault="003D4EEC">
            <w:r>
              <w:rPr>
                <w:sz w:val="19"/>
                <w:szCs w:val="19"/>
              </w:rPr>
              <w:t>Patentes vigentes</w:t>
            </w:r>
          </w:p>
        </w:tc>
        <w:tc>
          <w:tcPr>
            <w:tcW w:w="132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10" w:type="dxa"/>
              <w:bottom w:w="70" w:type="dxa"/>
              <w:right w:w="110" w:type="dxa"/>
            </w:tcMar>
          </w:tcPr>
          <w:p w14:paraId="25F9A254" w14:textId="77777777" w:rsidR="00200B5E" w:rsidRDefault="003D4EEC">
            <w:pPr>
              <w:jc w:val="center"/>
            </w:pPr>
            <w:r>
              <w:rPr>
                <w:b/>
                <w:bCs/>
                <w:color w:val="4B1A6B"/>
                <w:sz w:val="19"/>
                <w:szCs w:val="19"/>
              </w:rPr>
              <w:t>4,539</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74D526FC" w14:textId="77777777" w:rsidR="00200B5E" w:rsidRDefault="003D4EEC">
            <w:pPr>
              <w:jc w:val="center"/>
            </w:pPr>
            <w:r>
              <w:rPr>
                <w:sz w:val="19"/>
                <w:szCs w:val="19"/>
              </w:rPr>
              <w:t>N/D</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304593C6" w14:textId="77777777" w:rsidR="00200B5E" w:rsidRDefault="003D4EEC">
            <w:pPr>
              <w:jc w:val="center"/>
            </w:pPr>
            <w:r>
              <w:rPr>
                <w:sz w:val="19"/>
                <w:szCs w:val="19"/>
              </w:rPr>
              <w:t>21,079</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7842E114" w14:textId="77777777" w:rsidR="00200B5E" w:rsidRDefault="003D4EEC">
            <w:pPr>
              <w:jc w:val="center"/>
            </w:pPr>
            <w:r>
              <w:rPr>
                <w:sz w:val="19"/>
                <w:szCs w:val="19"/>
              </w:rPr>
              <w:t>111,190</w:t>
            </w:r>
          </w:p>
        </w:tc>
        <w:tc>
          <w:tcPr>
            <w:tcW w:w="88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38C1A76A" w14:textId="77777777" w:rsidR="00200B5E" w:rsidRDefault="003D4EEC">
            <w:pPr>
              <w:jc w:val="center"/>
            </w:pPr>
            <w:r>
              <w:rPr>
                <w:sz w:val="19"/>
                <w:szCs w:val="19"/>
              </w:rPr>
              <w:t>N/D</w:t>
            </w:r>
          </w:p>
        </w:tc>
      </w:tr>
      <w:tr w:rsidR="00200B5E" w14:paraId="4C042AC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59A38E" w14:textId="77777777" w:rsidR="00200B5E" w:rsidRDefault="003D4EEC">
            <w:r>
              <w:rPr>
                <w:sz w:val="19"/>
                <w:szCs w:val="19"/>
              </w:rPr>
              <w:t>Solicitudes PCT</w:t>
            </w:r>
          </w:p>
        </w:tc>
        <w:tc>
          <w:tcPr>
            <w:tcW w:w="132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10" w:type="dxa"/>
              <w:bottom w:w="70" w:type="dxa"/>
              <w:right w:w="110" w:type="dxa"/>
            </w:tcMar>
          </w:tcPr>
          <w:p w14:paraId="01E474E7" w14:textId="77777777" w:rsidR="00200B5E" w:rsidRDefault="003D4EEC">
            <w:pPr>
              <w:jc w:val="center"/>
            </w:pPr>
            <w:r>
              <w:rPr>
                <w:b/>
                <w:bCs/>
                <w:color w:val="4B1A6B"/>
                <w:sz w:val="19"/>
                <w:szCs w:val="19"/>
              </w:rPr>
              <w:t>31</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4656E20" w14:textId="77777777" w:rsidR="00200B5E" w:rsidRDefault="003D4EEC">
            <w:pPr>
              <w:jc w:val="center"/>
            </w:pPr>
            <w:r>
              <w:rPr>
                <w:sz w:val="19"/>
                <w:szCs w:val="19"/>
              </w:rPr>
              <w:t>N/D</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23EA1E9" w14:textId="77777777" w:rsidR="00200B5E" w:rsidRDefault="003D4EEC">
            <w:pPr>
              <w:jc w:val="center"/>
            </w:pPr>
            <w:r>
              <w:rPr>
                <w:sz w:val="19"/>
                <w:szCs w:val="19"/>
              </w:rPr>
              <w:t>218</w:t>
            </w:r>
          </w:p>
        </w:tc>
        <w:tc>
          <w:tcPr>
            <w:tcW w:w="13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D641C9" w14:textId="77777777" w:rsidR="00200B5E" w:rsidRDefault="003D4EEC">
            <w:pPr>
              <w:jc w:val="center"/>
            </w:pPr>
            <w:r>
              <w:rPr>
                <w:sz w:val="19"/>
                <w:szCs w:val="19"/>
              </w:rPr>
              <w:t>154</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1A68333" w14:textId="77777777" w:rsidR="00200B5E" w:rsidRDefault="003D4EEC">
            <w:pPr>
              <w:jc w:val="center"/>
            </w:pPr>
            <w:r>
              <w:rPr>
                <w:sz w:val="19"/>
                <w:szCs w:val="19"/>
              </w:rPr>
              <w:t>~589</w:t>
            </w:r>
          </w:p>
        </w:tc>
      </w:tr>
      <w:tr w:rsidR="00200B5E" w14:paraId="2FD21C90" w14:textId="77777777">
        <w:tc>
          <w:tcPr>
            <w:tcW w:w="320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56EAA3D5" w14:textId="77777777" w:rsidR="00200B5E" w:rsidRDefault="003D4EEC">
            <w:r>
              <w:rPr>
                <w:sz w:val="19"/>
                <w:szCs w:val="19"/>
              </w:rPr>
              <w:t>Apps residentes por millón de hab.</w:t>
            </w:r>
          </w:p>
        </w:tc>
        <w:tc>
          <w:tcPr>
            <w:tcW w:w="1320" w:type="dxa"/>
            <w:tcBorders>
              <w:top w:val="single" w:sz="1" w:space="0" w:color="CCCCCC"/>
              <w:left w:val="single" w:sz="1" w:space="0" w:color="CCCCCC"/>
              <w:bottom w:val="single" w:sz="1" w:space="0" w:color="CCCCCC"/>
              <w:right w:val="single" w:sz="1" w:space="0" w:color="CCCCCC"/>
            </w:tcBorders>
            <w:shd w:val="clear" w:color="auto" w:fill="E8D5F5"/>
            <w:tcMar>
              <w:top w:w="70" w:type="dxa"/>
              <w:left w:w="110" w:type="dxa"/>
              <w:bottom w:w="70" w:type="dxa"/>
              <w:right w:w="110" w:type="dxa"/>
            </w:tcMar>
          </w:tcPr>
          <w:p w14:paraId="029C066A" w14:textId="77777777" w:rsidR="00200B5E" w:rsidRDefault="003D4EEC">
            <w:pPr>
              <w:jc w:val="center"/>
            </w:pPr>
            <w:r>
              <w:rPr>
                <w:b/>
                <w:bCs/>
                <w:color w:val="4B1A6B"/>
                <w:sz w:val="19"/>
                <w:szCs w:val="19"/>
              </w:rPr>
              <w:t>6.3</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36AEB06E" w14:textId="77777777" w:rsidR="00200B5E" w:rsidRDefault="003D4EEC">
            <w:pPr>
              <w:jc w:val="center"/>
            </w:pPr>
            <w:r>
              <w:rPr>
                <w:sz w:val="19"/>
                <w:szCs w:val="19"/>
              </w:rPr>
              <w:t>N/D</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66B32DF9" w14:textId="77777777" w:rsidR="00200B5E" w:rsidRDefault="003D4EEC">
            <w:pPr>
              <w:jc w:val="center"/>
            </w:pPr>
            <w:r>
              <w:rPr>
                <w:sz w:val="19"/>
                <w:szCs w:val="19"/>
              </w:rPr>
              <w:t>19.7</w:t>
            </w:r>
          </w:p>
        </w:tc>
        <w:tc>
          <w:tcPr>
            <w:tcW w:w="132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02F79B47" w14:textId="77777777" w:rsidR="00200B5E" w:rsidRDefault="003D4EEC">
            <w:pPr>
              <w:jc w:val="center"/>
            </w:pPr>
            <w:r>
              <w:rPr>
                <w:sz w:val="19"/>
                <w:szCs w:val="19"/>
              </w:rPr>
              <w:t>9.0</w:t>
            </w:r>
          </w:p>
        </w:tc>
        <w:tc>
          <w:tcPr>
            <w:tcW w:w="880" w:type="dxa"/>
            <w:tcBorders>
              <w:top w:val="single" w:sz="1" w:space="0" w:color="CCCCCC"/>
              <w:left w:val="single" w:sz="1" w:space="0" w:color="CCCCCC"/>
              <w:bottom w:val="single" w:sz="1" w:space="0" w:color="CCCCCC"/>
              <w:right w:val="single" w:sz="1" w:space="0" w:color="CCCCCC"/>
            </w:tcBorders>
            <w:shd w:val="clear" w:color="auto" w:fill="F4F4F4"/>
            <w:tcMar>
              <w:top w:w="70" w:type="dxa"/>
              <w:left w:w="110" w:type="dxa"/>
              <w:bottom w:w="70" w:type="dxa"/>
              <w:right w:w="110" w:type="dxa"/>
            </w:tcMar>
          </w:tcPr>
          <w:p w14:paraId="700CA2E5" w14:textId="77777777" w:rsidR="00200B5E" w:rsidRDefault="003D4EEC">
            <w:pPr>
              <w:jc w:val="center"/>
            </w:pPr>
            <w:r>
              <w:rPr>
                <w:sz w:val="19"/>
                <w:szCs w:val="19"/>
              </w:rPr>
              <w:t>N/D</w:t>
            </w:r>
          </w:p>
        </w:tc>
      </w:tr>
    </w:tbl>
    <w:p w14:paraId="2A9E83F9" w14:textId="15DB5C8E" w:rsidR="00200B5E" w:rsidRDefault="003D4EEC">
      <w:pPr>
        <w:spacing w:before="40" w:after="200"/>
        <w:jc w:val="center"/>
      </w:pPr>
      <w:r>
        <w:rPr>
          <w:i/>
          <w:iCs/>
          <w:color w:val="4A4A6A"/>
          <w:sz w:val="18"/>
          <w:szCs w:val="18"/>
        </w:rPr>
        <w:t xml:space="preserve">Tabla 1. Comparativa de actividad </w:t>
      </w:r>
      <w:r w:rsidR="00E87466">
        <w:rPr>
          <w:i/>
          <w:iCs/>
          <w:color w:val="4A4A6A"/>
          <w:sz w:val="18"/>
          <w:szCs w:val="18"/>
        </w:rPr>
        <w:t>inventiva</w:t>
      </w:r>
      <w:r>
        <w:rPr>
          <w:i/>
          <w:iCs/>
          <w:color w:val="4A4A6A"/>
          <w:sz w:val="18"/>
          <w:szCs w:val="18"/>
        </w:rPr>
        <w:t xml:space="preserve"> entre países de América Latina (2024).</w:t>
      </w:r>
      <w:r w:rsidR="00E87466">
        <w:rPr>
          <w:i/>
          <w:iCs/>
          <w:color w:val="4A4A6A"/>
          <w:sz w:val="18"/>
          <w:szCs w:val="18"/>
        </w:rPr>
        <w:br/>
      </w:r>
      <w:r>
        <w:rPr>
          <w:i/>
          <w:iCs/>
          <w:color w:val="4A4A6A"/>
          <w:sz w:val="18"/>
          <w:szCs w:val="18"/>
        </w:rPr>
        <w:t xml:space="preserve"> Fuente: OMPI, INDECOPI, INAPI, SIC, IMPI.</w:t>
      </w:r>
    </w:p>
    <w:p w14:paraId="1E39C21F" w14:textId="77777777" w:rsidR="00200B5E" w:rsidRDefault="003D4EEC">
      <w:pPr>
        <w:spacing w:before="120" w:after="120"/>
        <w:jc w:val="both"/>
      </w:pPr>
      <w:r>
        <w:lastRenderedPageBreak/>
        <w:t xml:space="preserve">Lo primero que salta a la vista no es el número absoluto de solicitudes, sino la </w:t>
      </w:r>
      <w:r>
        <w:rPr>
          <w:b/>
          <w:bCs/>
          <w:color w:val="4B1A6B"/>
        </w:rPr>
        <w:t>proporción de solicitantes no residentes:</w:t>
      </w:r>
      <w:r>
        <w:t xml:space="preserve"> el 83.5% de las patentes registradas en el Perú proviene de empresas extranjeras. El mercado peruano es un receptor de tecnología, no un generador. Esta asimetría, sostenida a lo largo de décadas, tiene un costo económico directo: </w:t>
      </w:r>
      <w:r>
        <w:rPr>
          <w:b/>
          <w:bCs/>
          <w:color w:val="C0550B"/>
        </w:rPr>
        <w:t>cada regalía pagada al exterior es una transferencia de valor que no se acumula localmente.</w:t>
      </w:r>
    </w:p>
    <w:p w14:paraId="28D8F0DC" w14:textId="77777777" w:rsidR="00200B5E" w:rsidRDefault="00200B5E">
      <w:pPr>
        <w:spacing w:after="80"/>
      </w:pPr>
    </w:p>
    <w:p w14:paraId="259CFA58" w14:textId="77777777" w:rsidR="00200B5E" w:rsidRDefault="003D4EEC">
      <w:pPr>
        <w:spacing w:before="120" w:after="120"/>
        <w:jc w:val="both"/>
      </w:pPr>
      <w:r>
        <w:t xml:space="preserve">El segundo dato que merece atención es la distribución interna de las solicitudes nacionales. En 2025, las universidades peruanas acumularon el </w:t>
      </w:r>
      <w:r>
        <w:rPr>
          <w:b/>
          <w:bCs/>
          <w:color w:val="4B1A6B"/>
        </w:rPr>
        <w:t>79% de todas las solicitudes nacionales</w:t>
      </w:r>
      <w:r>
        <w:t xml:space="preserve"> —un crecimiento notable desde el 40% de 2020—, pero de ese universo, </w:t>
      </w:r>
      <w:r>
        <w:rPr>
          <w:b/>
          <w:bCs/>
          <w:color w:val="4B1A6B"/>
        </w:rPr>
        <w:t>561 fueron modelos de utilidad frente a solo 164 patentes de invención.</w:t>
      </w:r>
      <w:r>
        <w:t xml:space="preserve"> Esto no es irrelevante: los modelos de utilidad protegen mejoras incrementales con un umbral inventivo menor, pero generan mucho menos valor en el mercado de transferencia tecnológica que las patentes de invención. La estructura del patentamiento universitario peruano refleja, en cierta medida, una </w:t>
      </w:r>
      <w:r>
        <w:rPr>
          <w:i/>
          <w:iCs/>
          <w:color w:val="4A4A6A"/>
        </w:rPr>
        <w:t>cultura de la mejora continua antes que de la ruptura disruptiva.</w:t>
      </w:r>
    </w:p>
    <w:p w14:paraId="123CD451" w14:textId="77777777" w:rsidR="00200B5E" w:rsidRDefault="00200B5E">
      <w:pPr>
        <w:spacing w:after="140"/>
      </w:pPr>
    </w:p>
    <w:p w14:paraId="42A9F2CE" w14:textId="77777777" w:rsidR="00200B5E" w:rsidRDefault="003D4EEC">
      <w:pPr>
        <w:spacing w:before="160" w:after="160"/>
        <w:jc w:val="center"/>
      </w:pPr>
      <w:r>
        <w:rPr>
          <w:noProof/>
        </w:rPr>
        <w:drawing>
          <wp:inline distT="0" distB="0" distL="0" distR="0" wp14:anchorId="2EB9775A" wp14:editId="1C24713E">
            <wp:extent cx="5524500" cy="3000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000375"/>
                    </a:xfrm>
                    <a:prstGeom prst="rect">
                      <a:avLst/>
                    </a:prstGeom>
                  </pic:spPr>
                </pic:pic>
              </a:graphicData>
            </a:graphic>
          </wp:inline>
        </w:drawing>
      </w:r>
    </w:p>
    <w:p w14:paraId="0CD49857" w14:textId="4326B318" w:rsidR="00200B5E" w:rsidRDefault="003D4EEC">
      <w:pPr>
        <w:spacing w:before="40" w:after="200"/>
        <w:jc w:val="center"/>
      </w:pPr>
      <w:r>
        <w:rPr>
          <w:i/>
          <w:iCs/>
          <w:color w:val="4A4A6A"/>
          <w:sz w:val="18"/>
          <w:szCs w:val="18"/>
        </w:rPr>
        <w:t>Gráfico 1. Solicitudes de patentes residentes por país en Latinoamérica, 2024. Fuente: OMPI.</w:t>
      </w:r>
    </w:p>
    <w:p w14:paraId="52E4EA5E" w14:textId="77777777" w:rsidR="00200B5E" w:rsidRDefault="003D4EEC">
      <w:pPr>
        <w:pStyle w:val="Ttulo2"/>
      </w:pPr>
      <w:r>
        <w:t>2.1 La brecha de I+D: el origen estructural del problema</w:t>
      </w:r>
    </w:p>
    <w:p w14:paraId="32FFEACC" w14:textId="77777777" w:rsidR="00200B5E" w:rsidRDefault="003D4EEC">
      <w:pPr>
        <w:spacing w:before="120" w:after="120"/>
        <w:jc w:val="both"/>
      </w:pPr>
      <w:r>
        <w:t xml:space="preserve">Ningún análisis honesto puede ignorar que el Perú destina apenas el </w:t>
      </w:r>
      <w:r>
        <w:rPr>
          <w:b/>
          <w:bCs/>
          <w:color w:val="C0550B"/>
        </w:rPr>
        <w:t>0.16% del PIB a investigación y desarrollo</w:t>
      </w:r>
      <w:r>
        <w:t xml:space="preserve">, frente al 1.24% de Brasil, el 0.38% de Chile y el promedio OCDE del 2.7%. Con ese presupuesto, no es posible construir una infraestructura de transferencia tecnológica robusta. Las </w:t>
      </w:r>
      <w:r>
        <w:rPr>
          <w:b/>
          <w:bCs/>
          <w:color w:val="4B1A6B"/>
        </w:rPr>
        <w:t>menos de 15 Oficinas de Transferencia Tecnológica (OTT) funcionales</w:t>
      </w:r>
      <w:r>
        <w:t xml:space="preserve"> en todo el país —frente a más de 70 en México hacia 2015— son la consecuencia lógica de esta subinversión crónica.</w:t>
      </w:r>
    </w:p>
    <w:p w14:paraId="1EDF5500" w14:textId="77777777" w:rsidR="00200B5E" w:rsidRDefault="00200B5E">
      <w:pPr>
        <w:spacing w:after="80"/>
      </w:pPr>
    </w:p>
    <w:p w14:paraId="78CCA003" w14:textId="77777777" w:rsidR="00200B5E" w:rsidRDefault="003D4EEC">
      <w:pPr>
        <w:spacing w:before="120" w:after="120"/>
        <w:jc w:val="both"/>
      </w:pPr>
      <w:r>
        <w:t xml:space="preserve">La Ley 31250 (SINACTI, 2021) y la ley universitaria 30220 han generado resultados mensurables en términos de volumen. Pero el programa más exitoso de PROCIENCIA para patentes internacionales —el Registro de Patentes PCT— apenas financió </w:t>
      </w:r>
      <w:r>
        <w:rPr>
          <w:b/>
          <w:bCs/>
          <w:color w:val="4B1A6B"/>
        </w:rPr>
        <w:t>22 solicitudes en 2024</w:t>
      </w:r>
      <w:r>
        <w:t xml:space="preserve"> con un tope de S/ 25,000 </w:t>
      </w:r>
      <w:r>
        <w:lastRenderedPageBreak/>
        <w:t>por patente. Esa escala es insuficiente para un país que aspira a convertir la investigación universitaria en motor de desarrollo.</w:t>
      </w:r>
    </w:p>
    <w:p w14:paraId="5D238A13" w14:textId="77777777" w:rsidR="00200B5E" w:rsidRDefault="00200B5E">
      <w:pPr>
        <w:spacing w:after="140"/>
      </w:pPr>
    </w:p>
    <w:p w14:paraId="3774E5D3" w14:textId="77777777" w:rsidR="00200B5E" w:rsidRDefault="003D4EEC">
      <w:pPr>
        <w:spacing w:before="160" w:after="160"/>
        <w:jc w:val="center"/>
      </w:pPr>
      <w:r>
        <w:rPr>
          <w:noProof/>
        </w:rPr>
        <w:drawing>
          <wp:inline distT="0" distB="0" distL="0" distR="0" wp14:anchorId="3D191E2E" wp14:editId="07A7AF91">
            <wp:extent cx="5524500" cy="29908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990850"/>
                    </a:xfrm>
                    <a:prstGeom prst="rect">
                      <a:avLst/>
                    </a:prstGeom>
                  </pic:spPr>
                </pic:pic>
              </a:graphicData>
            </a:graphic>
          </wp:inline>
        </w:drawing>
      </w:r>
    </w:p>
    <w:p w14:paraId="1AA1B136" w14:textId="77777777" w:rsidR="00200B5E" w:rsidRDefault="003D4EEC">
      <w:pPr>
        <w:spacing w:before="40" w:after="200"/>
        <w:jc w:val="center"/>
      </w:pPr>
      <w:r>
        <w:rPr>
          <w:i/>
          <w:iCs/>
          <w:color w:val="4A4A6A"/>
          <w:sz w:val="18"/>
          <w:szCs w:val="18"/>
        </w:rPr>
        <w:t>Gráfico 2. Evolución comparativa de publicaciones científicas anuales vs. solicitudes de patentes residentes en Perú (2018-2024). Fuente: Scopus, OMPI.</w:t>
      </w:r>
    </w:p>
    <w:p w14:paraId="48182B20" w14:textId="77777777" w:rsidR="00200B5E" w:rsidRDefault="003D4EEC">
      <w:pPr>
        <w:spacing w:before="160" w:after="160"/>
        <w:jc w:val="center"/>
      </w:pPr>
      <w:r>
        <w:rPr>
          <w:noProof/>
        </w:rPr>
        <w:drawing>
          <wp:inline distT="0" distB="0" distL="0" distR="0" wp14:anchorId="470713E2" wp14:editId="7592A681">
            <wp:extent cx="4953000" cy="25241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524125"/>
                    </a:xfrm>
                    <a:prstGeom prst="rect">
                      <a:avLst/>
                    </a:prstGeom>
                  </pic:spPr>
                </pic:pic>
              </a:graphicData>
            </a:graphic>
          </wp:inline>
        </w:drawing>
      </w:r>
    </w:p>
    <w:p w14:paraId="623B418A" w14:textId="6264E3DE" w:rsidR="00200B5E" w:rsidRDefault="003D4EEC">
      <w:pPr>
        <w:spacing w:before="40" w:after="200"/>
        <w:jc w:val="center"/>
      </w:pPr>
      <w:r>
        <w:rPr>
          <w:i/>
          <w:iCs/>
          <w:color w:val="4A4A6A"/>
          <w:sz w:val="18"/>
          <w:szCs w:val="18"/>
        </w:rPr>
        <w:t xml:space="preserve">Gráfico 3. Cambio en la distribución de solicitudes nacionales por tipo de solicitante. </w:t>
      </w:r>
      <w:r w:rsidR="00E87466">
        <w:rPr>
          <w:i/>
          <w:iCs/>
          <w:color w:val="4A4A6A"/>
          <w:sz w:val="18"/>
          <w:szCs w:val="18"/>
        </w:rPr>
        <w:br/>
      </w:r>
      <w:r>
        <w:rPr>
          <w:i/>
          <w:iCs/>
          <w:color w:val="4A4A6A"/>
          <w:sz w:val="18"/>
          <w:szCs w:val="18"/>
        </w:rPr>
        <w:t>Fuente: INDECOPI, elaboración propia.</w:t>
      </w:r>
    </w:p>
    <w:p w14:paraId="164E3FF3" w14:textId="77777777" w:rsidR="00200B5E" w:rsidRDefault="00200B5E">
      <w:pPr>
        <w:spacing w:after="80"/>
      </w:pPr>
    </w:p>
    <w:p w14:paraId="52F80792" w14:textId="77777777" w:rsidR="00200B5E" w:rsidRDefault="003D4EEC">
      <w:pPr>
        <w:spacing w:before="120" w:after="120"/>
        <w:jc w:val="both"/>
      </w:pPr>
      <w:r>
        <w:t>El gráfico 2 ilustra la paradoja con claridad: mientras la producción científica crece de manera sostenida —impulsada por los requisitos de SUNEDU y los fondos concursables de CONCYTEC—, las solicitudes de patentes residentes permanecen estancadas en rangos muy bajos. Publicar e inventar son actos distintos que requieren incentivos distintos. Y en Perú, el sistema universitario premia el primero y raramente facilita el segundo.</w:t>
      </w:r>
    </w:p>
    <w:p w14:paraId="10475205" w14:textId="77777777" w:rsidR="00200B5E" w:rsidRDefault="00200B5E">
      <w:pPr>
        <w:spacing w:after="120"/>
      </w:pPr>
    </w:p>
    <w:p w14:paraId="1B224576" w14:textId="77777777" w:rsidR="00200B5E" w:rsidRDefault="003D4EEC">
      <w:pPr>
        <w:pStyle w:val="Ttulo1"/>
        <w:pBdr>
          <w:bottom w:val="single" w:sz="8" w:space="6" w:color="7B2D8B"/>
        </w:pBdr>
      </w:pPr>
      <w:r>
        <w:t xml:space="preserve">3. Los tres cuellos de botella que </w:t>
      </w:r>
      <w:proofErr w:type="spellStart"/>
      <w:r>
        <w:t>Patentame</w:t>
      </w:r>
      <w:proofErr w:type="spellEnd"/>
      <w:r>
        <w:t xml:space="preserve"> puede atacar</w:t>
      </w:r>
    </w:p>
    <w:p w14:paraId="0CCF89D3" w14:textId="77777777" w:rsidR="00200B5E" w:rsidRDefault="003D4EEC">
      <w:pPr>
        <w:spacing w:before="120" w:after="120"/>
        <w:jc w:val="both"/>
      </w:pPr>
      <w:r>
        <w:t xml:space="preserve">Identificado el diagnóstico, es importante ser precisos sobre qué puede y qué no puede resolver una herramienta digital. </w:t>
      </w:r>
      <w:proofErr w:type="spellStart"/>
      <w:r>
        <w:t>Patentame</w:t>
      </w:r>
      <w:proofErr w:type="spellEnd"/>
      <w:r>
        <w:t xml:space="preserve"> no aumentará el presupuesto de I+D ni creará </w:t>
      </w:r>
      <w:proofErr w:type="spellStart"/>
      <w:r>
        <w:t>OTTs</w:t>
      </w:r>
      <w:proofErr w:type="spellEnd"/>
      <w:r>
        <w:t xml:space="preserve"> donde no existen. Pero sí puede reducir significativamente tres barreras concretas:</w:t>
      </w:r>
    </w:p>
    <w:p w14:paraId="10E721D9" w14:textId="77777777" w:rsidR="00200B5E" w:rsidRDefault="00200B5E">
      <w:pPr>
        <w:spacing w:after="80"/>
      </w:pPr>
    </w:p>
    <w:p w14:paraId="0E0A2C2B" w14:textId="77777777" w:rsidR="00200B5E" w:rsidRDefault="003D4EEC">
      <w:pPr>
        <w:pStyle w:val="Ttulo2"/>
      </w:pPr>
      <w:r>
        <w:t>3.1 La barrera del conocimiento técnico</w:t>
      </w:r>
    </w:p>
    <w:p w14:paraId="374D3926" w14:textId="77777777" w:rsidR="00200B5E" w:rsidRDefault="003D4EEC">
      <w:pPr>
        <w:spacing w:before="120" w:after="120"/>
        <w:jc w:val="both"/>
      </w:pPr>
      <w:r>
        <w:t xml:space="preserve">Redactar una solicitud de patente conforme a las directrices de la OMPI es un proceso técnico complejo. Requiere dominar conceptos como el </w:t>
      </w:r>
      <w:r>
        <w:rPr>
          <w:i/>
          <w:iCs/>
          <w:color w:val="4A4A6A"/>
        </w:rPr>
        <w:t>estado de la técnica</w:t>
      </w:r>
      <w:r>
        <w:t xml:space="preserve">, las reivindicaciones independientes y dependientes, los códigos CIP/EPO y la descripción detallada. Un inventor sin formación en propiedad intelectual puede tener años de investigación valiosa y </w:t>
      </w:r>
      <w:r>
        <w:rPr>
          <w:b/>
          <w:bCs/>
          <w:color w:val="4B1A6B"/>
        </w:rPr>
        <w:t>fallar en la primera etapa simplemente por no saber cómo redactar.</w:t>
      </w:r>
      <w:r>
        <w:t xml:space="preserve"> </w:t>
      </w:r>
      <w:proofErr w:type="spellStart"/>
      <w:r>
        <w:t>Patentame</w:t>
      </w:r>
      <w:proofErr w:type="spellEnd"/>
      <w:r>
        <w:t xml:space="preserve"> estructura ese proceso en diez pasos guiados, con mejoras potenciadas por IA y una lista de verificación final de cumplimiento.</w:t>
      </w:r>
    </w:p>
    <w:p w14:paraId="2896443E" w14:textId="77777777" w:rsidR="00200B5E" w:rsidRDefault="00200B5E">
      <w:pPr>
        <w:spacing w:after="80"/>
      </w:pPr>
    </w:p>
    <w:p w14:paraId="27C4C568" w14:textId="77777777" w:rsidR="00200B5E" w:rsidRDefault="003D4EEC">
      <w:pPr>
        <w:pStyle w:val="Ttulo2"/>
      </w:pPr>
      <w:r>
        <w:t>3.2 La barrera del costo</w:t>
      </w:r>
    </w:p>
    <w:p w14:paraId="42D5FA2D" w14:textId="77777777" w:rsidR="00200B5E" w:rsidRDefault="003D4EEC">
      <w:pPr>
        <w:spacing w:before="120" w:after="120"/>
        <w:jc w:val="both"/>
      </w:pPr>
      <w:r>
        <w:t xml:space="preserve">Los servicios de un agente de patentes para redactar y tramitar una solicitud nacional oscilan entre USD 800 y USD 3,000 en Perú. Para un inventor individual, una startup o un investigador de una universidad pública, esa cifra es frecuentemente prohibitiva. Una herramienta de código abierto que asista en la redacción —sin reemplazar el asesoramiento legal— puede </w:t>
      </w:r>
      <w:r>
        <w:rPr>
          <w:b/>
          <w:bCs/>
          <w:color w:val="C0550B"/>
        </w:rPr>
        <w:t>reducir ese costo entre 30% y 50%</w:t>
      </w:r>
      <w:r>
        <w:t>, según estudios comparables en herramientas comerciales equivalentes (</w:t>
      </w:r>
      <w:proofErr w:type="spellStart"/>
      <w:r>
        <w:t>ScienceDirect</w:t>
      </w:r>
      <w:proofErr w:type="spellEnd"/>
      <w:r>
        <w:t>, 2025).</w:t>
      </w:r>
    </w:p>
    <w:p w14:paraId="25EB708F" w14:textId="77777777" w:rsidR="00200B5E" w:rsidRDefault="00200B5E">
      <w:pPr>
        <w:spacing w:after="80"/>
      </w:pPr>
    </w:p>
    <w:p w14:paraId="5449DA1E" w14:textId="77777777" w:rsidR="00200B5E" w:rsidRDefault="003D4EEC">
      <w:pPr>
        <w:pStyle w:val="Ttulo2"/>
      </w:pPr>
      <w:r>
        <w:t>3.3 La barrera del idioma y el contexto normativo</w:t>
      </w:r>
    </w:p>
    <w:p w14:paraId="30418545" w14:textId="77777777" w:rsidR="00200B5E" w:rsidRDefault="003D4EEC">
      <w:pPr>
        <w:spacing w:before="120" w:after="120"/>
        <w:jc w:val="both"/>
      </w:pPr>
      <w:r>
        <w:t xml:space="preserve">La gran mayoría de herramientas de IA para redacción de patentes está orientada a la USPTO o la EPO, en inglés. </w:t>
      </w:r>
      <w:proofErr w:type="spellStart"/>
      <w:r>
        <w:t>Patentame</w:t>
      </w:r>
      <w:proofErr w:type="spellEnd"/>
      <w:r>
        <w:t xml:space="preserve"> opera en español y está alineado con las directrices de la OMPI, lo que lo hace directamente aplicable al contexto peruano (INDECOPI) y al andino (Decisión 486 de la CAN). Esto no es un detalle menor: </w:t>
      </w:r>
      <w:r>
        <w:rPr>
          <w:b/>
          <w:bCs/>
          <w:color w:val="4B1A6B"/>
        </w:rPr>
        <w:t>la terminología jurídica de patentes en español tiene matices propios</w:t>
      </w:r>
      <w:r>
        <w:t xml:space="preserve"> que las traducciones automáticas no siempre capturan correctamente.</w:t>
      </w:r>
    </w:p>
    <w:p w14:paraId="5CA26FC5" w14:textId="77777777" w:rsidR="00200B5E" w:rsidRDefault="00200B5E">
      <w:pPr>
        <w:spacing w:after="120"/>
      </w:pPr>
    </w:p>
    <w:p w14:paraId="5EA6D240" w14:textId="77777777" w:rsidR="00200B5E" w:rsidRDefault="003D4EEC">
      <w:pPr>
        <w:pStyle w:val="Ttulo1"/>
        <w:pBdr>
          <w:bottom w:val="single" w:sz="8" w:space="6" w:color="7B2D8B"/>
        </w:pBdr>
      </w:pPr>
      <w:r>
        <w:t>4. Guía práctica de uso: de GitHub a la solicitud INDECOPI</w:t>
      </w:r>
    </w:p>
    <w:p w14:paraId="40DCBA7D" w14:textId="77777777" w:rsidR="00200B5E" w:rsidRDefault="003D4EEC">
      <w:pPr>
        <w:spacing w:before="120" w:after="120"/>
        <w:jc w:val="both"/>
      </w:pPr>
      <w:proofErr w:type="spellStart"/>
      <w:r>
        <w:t>Patentame</w:t>
      </w:r>
      <w:proofErr w:type="spellEnd"/>
      <w:r>
        <w:t xml:space="preserve"> está disponible como proyecto de código abierto en GitHub. A </w:t>
      </w:r>
      <w:proofErr w:type="gramStart"/>
      <w:r>
        <w:t>continuación</w:t>
      </w:r>
      <w:proofErr w:type="gramEnd"/>
      <w:r>
        <w:t xml:space="preserve"> se describe un flujo de trabajo mínimo viable para gestores tecnológicos, docentes investigadores y técnicos de </w:t>
      </w:r>
      <w:proofErr w:type="spellStart"/>
      <w:r>
        <w:t>CITEs</w:t>
      </w:r>
      <w:proofErr w:type="spellEnd"/>
      <w:r>
        <w:t>.</w:t>
      </w:r>
    </w:p>
    <w:p w14:paraId="6EEB340F" w14:textId="77777777" w:rsidR="00200B5E" w:rsidRDefault="00200B5E">
      <w:pPr>
        <w:spacing w:after="80"/>
      </w:pPr>
    </w:p>
    <w:p w14:paraId="50391DCE" w14:textId="77777777" w:rsidR="00200B5E" w:rsidRDefault="003D4EEC">
      <w:pPr>
        <w:pStyle w:val="Ttulo2"/>
      </w:pPr>
      <w:r>
        <w:t>4.1 Acceso y configuración inicial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200B5E" w14:paraId="0AFD4C76" w14:textId="77777777">
        <w:tc>
          <w:tcPr>
            <w:tcW w:w="480" w:type="dxa"/>
            <w:tcBorders>
              <w:top w:val="none" w:sz="0" w:space="0" w:color="FFFFFF"/>
              <w:left w:val="none" w:sz="0" w:space="0" w:color="FFFFFF"/>
              <w:bottom w:val="none" w:sz="0" w:space="0" w:color="FFFFFF"/>
              <w:right w:val="none" w:sz="0" w:space="0" w:color="FFFFFF"/>
            </w:tcBorders>
            <w:shd w:val="clear" w:color="auto" w:fill="E8D5F5"/>
            <w:tcMar>
              <w:top w:w="100" w:type="dxa"/>
              <w:left w:w="120" w:type="dxa"/>
              <w:bottom w:w="100" w:type="dxa"/>
              <w:right w:w="80" w:type="dxa"/>
            </w:tcMar>
            <w:vAlign w:val="center"/>
          </w:tcPr>
          <w:p w14:paraId="3A395981" w14:textId="77777777" w:rsidR="00200B5E" w:rsidRDefault="003D4EEC">
            <w:pPr>
              <w:jc w:val="center"/>
            </w:pPr>
            <w:r>
              <w:rPr>
                <w:rFonts w:ascii="Segoe UI Emoji" w:eastAsia="Segoe UI Emoji" w:hAnsi="Segoe UI Emoji" w:cs="Segoe UI Emoji"/>
                <w:sz w:val="28"/>
                <w:szCs w:val="28"/>
              </w:rPr>
              <w:lastRenderedPageBreak/>
              <w:t>🐙</w:t>
            </w:r>
          </w:p>
        </w:tc>
        <w:tc>
          <w:tcPr>
            <w:tcW w:w="8880" w:type="dxa"/>
            <w:tcBorders>
              <w:top w:val="none" w:sz="0" w:space="0" w:color="FFFFFF"/>
              <w:left w:val="none" w:sz="0" w:space="0" w:color="FFFFFF"/>
              <w:bottom w:val="none" w:sz="0" w:space="0" w:color="FFFFFF"/>
              <w:right w:val="none" w:sz="0" w:space="0" w:color="FFFFFF"/>
            </w:tcBorders>
            <w:shd w:val="clear" w:color="auto" w:fill="F9F0FF"/>
            <w:tcMar>
              <w:top w:w="100" w:type="dxa"/>
              <w:left w:w="160" w:type="dxa"/>
              <w:bottom w:w="100" w:type="dxa"/>
              <w:right w:w="120" w:type="dxa"/>
            </w:tcMar>
          </w:tcPr>
          <w:p w14:paraId="452B7265" w14:textId="77777777" w:rsidR="00200B5E" w:rsidRDefault="003D4EEC">
            <w:pPr>
              <w:spacing w:after="40"/>
            </w:pPr>
            <w:r>
              <w:rPr>
                <w:b/>
                <w:bCs/>
                <w:color w:val="4B1A6B"/>
              </w:rPr>
              <w:t>Tip GitHub — Clonar el repositorio</w:t>
            </w:r>
          </w:p>
          <w:p w14:paraId="2ED05FF0" w14:textId="77777777" w:rsidR="00200B5E" w:rsidRDefault="003D4EEC">
            <w:r>
              <w:rPr>
                <w:color w:val="4A4A6A"/>
                <w:sz w:val="20"/>
                <w:szCs w:val="20"/>
              </w:rPr>
              <w:t xml:space="preserve">Abrir terminal y ejecutar: </w:t>
            </w:r>
            <w:proofErr w:type="spellStart"/>
            <w:r>
              <w:rPr>
                <w:color w:val="4A4A6A"/>
                <w:sz w:val="20"/>
                <w:szCs w:val="20"/>
              </w:rPr>
              <w:t>git</w:t>
            </w:r>
            <w:proofErr w:type="spellEnd"/>
            <w:r>
              <w:rPr>
                <w:color w:val="4A4A6A"/>
                <w:sz w:val="20"/>
                <w:szCs w:val="20"/>
              </w:rPr>
              <w:t xml:space="preserve"> clone https://github.com/scientificbroker/Patentame.git &amp;&amp; cd </w:t>
            </w:r>
            <w:proofErr w:type="spellStart"/>
            <w:r>
              <w:rPr>
                <w:color w:val="4A4A6A"/>
                <w:sz w:val="20"/>
                <w:szCs w:val="20"/>
              </w:rPr>
              <w:t>Patentame</w:t>
            </w:r>
            <w:proofErr w:type="spellEnd"/>
            <w:r>
              <w:rPr>
                <w:color w:val="4A4A6A"/>
                <w:sz w:val="20"/>
                <w:szCs w:val="20"/>
              </w:rPr>
              <w:t xml:space="preserve"> &amp;&amp; </w:t>
            </w:r>
            <w:proofErr w:type="spellStart"/>
            <w:r>
              <w:rPr>
                <w:color w:val="4A4A6A"/>
                <w:sz w:val="20"/>
                <w:szCs w:val="20"/>
              </w:rPr>
              <w:t>npm</w:t>
            </w:r>
            <w:proofErr w:type="spellEnd"/>
            <w:r>
              <w:rPr>
                <w:color w:val="4A4A6A"/>
                <w:sz w:val="20"/>
                <w:szCs w:val="20"/>
              </w:rPr>
              <w:t xml:space="preserve"> </w:t>
            </w:r>
            <w:proofErr w:type="spellStart"/>
            <w:r>
              <w:rPr>
                <w:color w:val="4A4A6A"/>
                <w:sz w:val="20"/>
                <w:szCs w:val="20"/>
              </w:rPr>
              <w:t>install</w:t>
            </w:r>
            <w:proofErr w:type="spellEnd"/>
            <w:r>
              <w:rPr>
                <w:color w:val="4A4A6A"/>
                <w:sz w:val="20"/>
                <w:szCs w:val="20"/>
              </w:rPr>
              <w:t xml:space="preserve"> — Requiere Node.js v18 o superior.</w:t>
            </w:r>
          </w:p>
        </w:tc>
      </w:tr>
    </w:tbl>
    <w:p w14:paraId="326B0F47" w14:textId="77777777" w:rsidR="00200B5E" w:rsidRDefault="00200B5E">
      <w:pPr>
        <w:spacing w:after="100"/>
      </w:pPr>
    </w:p>
    <w:p w14:paraId="5035EA6A" w14:textId="77777777" w:rsidR="00200B5E" w:rsidRDefault="003D4EEC">
      <w:pPr>
        <w:spacing w:before="120" w:after="120"/>
        <w:jc w:val="both"/>
      </w:pPr>
      <w:r>
        <w:t xml:space="preserve">Una vez clonado el repositorio, la estructura del proyecto revela los módulos principales: el asistente de redacción paso a paso, el módulo de vigilancia tecnológica (búsqueda de patentes anteriores) y la interfaz de verificación final. Para gestores que prefieran no instalar nada localmente, la aplicación puede desplegarse en plataformas como </w:t>
      </w:r>
      <w:proofErr w:type="spellStart"/>
      <w:r>
        <w:t>Vercel</w:t>
      </w:r>
      <w:proofErr w:type="spellEnd"/>
      <w:r>
        <w:t xml:space="preserve"> o </w:t>
      </w:r>
      <w:proofErr w:type="spellStart"/>
      <w:r>
        <w:t>Railway</w:t>
      </w:r>
      <w:proofErr w:type="spellEnd"/>
      <w:r>
        <w:t xml:space="preserve"> con un solo clic desde el botón "</w:t>
      </w:r>
      <w:proofErr w:type="spellStart"/>
      <w:r>
        <w:t>Deploy</w:t>
      </w:r>
      <w:proofErr w:type="spellEnd"/>
      <w:r>
        <w:t>" del repositorio.</w:t>
      </w:r>
    </w:p>
    <w:p w14:paraId="3F6EB342" w14:textId="77777777" w:rsidR="00200B5E" w:rsidRDefault="00200B5E">
      <w:pPr>
        <w:spacing w:after="80"/>
      </w:pPr>
    </w:p>
    <w:p w14:paraId="14DFC126" w14:textId="77777777" w:rsidR="00200B5E" w:rsidRDefault="003D4EEC">
      <w:pPr>
        <w:pStyle w:val="Ttulo2"/>
      </w:pPr>
      <w:r>
        <w:t>4.2 Flujo de trabajo recomendado en diez pasos</w:t>
      </w:r>
    </w:p>
    <w:p w14:paraId="67017DEF" w14:textId="77777777" w:rsidR="00200B5E" w:rsidRDefault="003D4EEC">
      <w:pPr>
        <w:spacing w:before="120" w:after="120"/>
        <w:jc w:val="both"/>
      </w:pPr>
      <w:r>
        <w:rPr>
          <w:b/>
          <w:bCs/>
          <w:color w:val="7B2D8B"/>
        </w:rPr>
        <w:t xml:space="preserve">Los diez módulos de </w:t>
      </w:r>
      <w:proofErr w:type="spellStart"/>
      <w:r>
        <w:rPr>
          <w:b/>
          <w:bCs/>
          <w:color w:val="7B2D8B"/>
        </w:rPr>
        <w:t>Patentame</w:t>
      </w:r>
      <w:proofErr w:type="spellEnd"/>
      <w:r>
        <w:rPr>
          <w:b/>
          <w:bCs/>
          <w:color w:val="7B2D8B"/>
        </w:rPr>
        <w:t xml:space="preserve"> cubren exactamente los apartados que INDECOPI y la OMPI exigen:</w:t>
      </w:r>
    </w:p>
    <w:p w14:paraId="3F491D54" w14:textId="77777777" w:rsidR="00200B5E" w:rsidRDefault="00200B5E">
      <w:pPr>
        <w:spacing w:after="60"/>
      </w:pPr>
    </w:p>
    <w:p w14:paraId="72F701BE" w14:textId="77777777" w:rsidR="00200B5E" w:rsidRDefault="003D4EEC">
      <w:pPr>
        <w:pStyle w:val="Prrafodelista"/>
        <w:numPr>
          <w:ilvl w:val="0"/>
          <w:numId w:val="2"/>
        </w:numPr>
        <w:spacing w:before="60" w:after="60"/>
      </w:pPr>
      <w:r>
        <w:t>Bienvenida y selección del tipo de protección (patente de invención vs. modelo de utilidad).</w:t>
      </w:r>
    </w:p>
    <w:p w14:paraId="090ADB40" w14:textId="77777777" w:rsidR="00200B5E" w:rsidRDefault="003D4EEC">
      <w:pPr>
        <w:pStyle w:val="Prrafodelista"/>
        <w:numPr>
          <w:ilvl w:val="0"/>
          <w:numId w:val="2"/>
        </w:numPr>
        <w:spacing w:before="60" w:after="60"/>
      </w:pPr>
      <w:r>
        <w:t>Carga de documentos previos (memoria técnica, informes de laboratorio, TFG, tesis).</w:t>
      </w:r>
    </w:p>
    <w:p w14:paraId="0089D83B" w14:textId="77777777" w:rsidR="00200B5E" w:rsidRDefault="003D4EEC">
      <w:pPr>
        <w:pStyle w:val="Prrafodelista"/>
        <w:numPr>
          <w:ilvl w:val="0"/>
          <w:numId w:val="2"/>
        </w:numPr>
        <w:spacing w:before="60" w:after="60"/>
      </w:pPr>
      <w:r>
        <w:t>Título de la invención — guiado por criterios de brevedad y precisión técnica.</w:t>
      </w:r>
    </w:p>
    <w:p w14:paraId="433908D4" w14:textId="77777777" w:rsidR="00200B5E" w:rsidRDefault="003D4EEC">
      <w:pPr>
        <w:pStyle w:val="Prrafodelista"/>
        <w:numPr>
          <w:ilvl w:val="0"/>
          <w:numId w:val="2"/>
        </w:numPr>
        <w:spacing w:before="60" w:after="60"/>
      </w:pPr>
      <w:r>
        <w:t>Sector técnico de aplicación.</w:t>
      </w:r>
    </w:p>
    <w:p w14:paraId="7E148C19" w14:textId="77777777" w:rsidR="00200B5E" w:rsidRDefault="003D4EEC">
      <w:pPr>
        <w:pStyle w:val="Prrafodelista"/>
        <w:numPr>
          <w:ilvl w:val="0"/>
          <w:numId w:val="2"/>
        </w:numPr>
        <w:spacing w:before="60" w:after="60"/>
      </w:pPr>
      <w:r>
        <w:t xml:space="preserve">Estado de la técnica y arte previo — con asistencia para búsquedas en </w:t>
      </w:r>
      <w:proofErr w:type="spellStart"/>
      <w:r>
        <w:t>Espacenet</w:t>
      </w:r>
      <w:proofErr w:type="spellEnd"/>
      <w:r>
        <w:t xml:space="preserve"> y Google </w:t>
      </w:r>
      <w:proofErr w:type="spellStart"/>
      <w:r>
        <w:t>Patents</w:t>
      </w:r>
      <w:proofErr w:type="spellEnd"/>
      <w:r>
        <w:t>.</w:t>
      </w:r>
    </w:p>
    <w:p w14:paraId="754F93A4" w14:textId="77777777" w:rsidR="00200B5E" w:rsidRDefault="003D4EEC">
      <w:pPr>
        <w:pStyle w:val="Prrafodelista"/>
        <w:numPr>
          <w:ilvl w:val="0"/>
          <w:numId w:val="2"/>
        </w:numPr>
        <w:spacing w:before="60" w:after="60"/>
      </w:pPr>
      <w:r>
        <w:t>Antecedentes de patentes con clasificación CIP/EPO.</w:t>
      </w:r>
    </w:p>
    <w:p w14:paraId="08DFDE76" w14:textId="77777777" w:rsidR="00200B5E" w:rsidRDefault="003D4EEC">
      <w:pPr>
        <w:pStyle w:val="Prrafodelista"/>
        <w:numPr>
          <w:ilvl w:val="0"/>
          <w:numId w:val="2"/>
        </w:numPr>
        <w:spacing w:before="60" w:after="60"/>
      </w:pPr>
      <w:r>
        <w:t>Descripción detallada de la invención (optativo pero recomendado).</w:t>
      </w:r>
    </w:p>
    <w:p w14:paraId="0F660D4B" w14:textId="77777777" w:rsidR="00200B5E" w:rsidRDefault="003D4EEC">
      <w:pPr>
        <w:pStyle w:val="Prrafodelista"/>
        <w:numPr>
          <w:ilvl w:val="0"/>
          <w:numId w:val="2"/>
        </w:numPr>
        <w:spacing w:before="60" w:after="60"/>
      </w:pPr>
      <w:r>
        <w:t>Reivindicaciones — el corazón jurídico de la patente.</w:t>
      </w:r>
    </w:p>
    <w:p w14:paraId="5918A11B" w14:textId="77777777" w:rsidR="00200B5E" w:rsidRDefault="003D4EEC">
      <w:pPr>
        <w:pStyle w:val="Prrafodelista"/>
        <w:numPr>
          <w:ilvl w:val="0"/>
          <w:numId w:val="2"/>
        </w:numPr>
        <w:spacing w:before="60" w:after="60"/>
      </w:pPr>
      <w:r>
        <w:t>Resumen de la invención.</w:t>
      </w:r>
    </w:p>
    <w:p w14:paraId="20E95EC1" w14:textId="77777777" w:rsidR="00200B5E" w:rsidRDefault="003D4EEC">
      <w:pPr>
        <w:pStyle w:val="Prrafodelista"/>
        <w:numPr>
          <w:ilvl w:val="0"/>
          <w:numId w:val="2"/>
        </w:numPr>
        <w:spacing w:before="60" w:after="60"/>
      </w:pPr>
      <w:r>
        <w:t>Lista de verificación final de cumplimiento normativo.</w:t>
      </w:r>
    </w:p>
    <w:p w14:paraId="33E4D2B4" w14:textId="77777777" w:rsidR="00200B5E" w:rsidRDefault="00200B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200B5E" w14:paraId="37EC998D" w14:textId="77777777">
        <w:tc>
          <w:tcPr>
            <w:tcW w:w="480" w:type="dxa"/>
            <w:tcBorders>
              <w:top w:val="none" w:sz="0" w:space="0" w:color="FFFFFF"/>
              <w:left w:val="none" w:sz="0" w:space="0" w:color="FFFFFF"/>
              <w:bottom w:val="none" w:sz="0" w:space="0" w:color="FFFFFF"/>
              <w:right w:val="none" w:sz="0" w:space="0" w:color="FFFFFF"/>
            </w:tcBorders>
            <w:shd w:val="clear" w:color="auto" w:fill="E8D5F5"/>
            <w:tcMar>
              <w:top w:w="100" w:type="dxa"/>
              <w:left w:w="120" w:type="dxa"/>
              <w:bottom w:w="100" w:type="dxa"/>
              <w:right w:w="80" w:type="dxa"/>
            </w:tcMar>
            <w:vAlign w:val="center"/>
          </w:tcPr>
          <w:p w14:paraId="6C740CE5" w14:textId="77777777" w:rsidR="00200B5E" w:rsidRDefault="003D4EEC">
            <w:pPr>
              <w:jc w:val="center"/>
            </w:pPr>
            <w:r>
              <w:rPr>
                <w:rFonts w:ascii="Segoe UI Emoji" w:eastAsia="Segoe UI Emoji" w:hAnsi="Segoe UI Emoji" w:cs="Segoe UI Emoji"/>
                <w:sz w:val="28"/>
                <w:szCs w:val="28"/>
              </w:rPr>
              <w:t>🤖</w:t>
            </w:r>
          </w:p>
        </w:tc>
        <w:tc>
          <w:tcPr>
            <w:tcW w:w="8880" w:type="dxa"/>
            <w:tcBorders>
              <w:top w:val="none" w:sz="0" w:space="0" w:color="FFFFFF"/>
              <w:left w:val="none" w:sz="0" w:space="0" w:color="FFFFFF"/>
              <w:bottom w:val="none" w:sz="0" w:space="0" w:color="FFFFFF"/>
              <w:right w:val="none" w:sz="0" w:space="0" w:color="FFFFFF"/>
            </w:tcBorders>
            <w:shd w:val="clear" w:color="auto" w:fill="F9F0FF"/>
            <w:tcMar>
              <w:top w:w="100" w:type="dxa"/>
              <w:left w:w="160" w:type="dxa"/>
              <w:bottom w:w="100" w:type="dxa"/>
              <w:right w:w="120" w:type="dxa"/>
            </w:tcMar>
          </w:tcPr>
          <w:p w14:paraId="3B1F8E4D" w14:textId="77777777" w:rsidR="00200B5E" w:rsidRDefault="003D4EEC">
            <w:pPr>
              <w:spacing w:after="40"/>
            </w:pPr>
            <w:r>
              <w:rPr>
                <w:b/>
                <w:bCs/>
                <w:color w:val="4B1A6B"/>
              </w:rPr>
              <w:t>Tip Claude — Mejorar reivindicaciones con IA</w:t>
            </w:r>
          </w:p>
          <w:p w14:paraId="44A2E309" w14:textId="77777777" w:rsidR="00200B5E" w:rsidRDefault="003D4EEC">
            <w:r>
              <w:rPr>
                <w:color w:val="4A4A6A"/>
                <w:sz w:val="20"/>
                <w:szCs w:val="20"/>
              </w:rPr>
              <w:t>En el paso 8, copiar el borrador de reivindicaciones en Claude y usar el prompt: "Eres un experto en redacción de patentes bajo directrices OMPI. Revisa las siguientes reivindicaciones, identifica ambigüedades técnicas, asegura que la reivindicación independiente sea suficientemente amplia y las dependientes correctamente subordinadas. Contexto: [pegar texto]."</w:t>
            </w:r>
          </w:p>
        </w:tc>
      </w:tr>
    </w:tbl>
    <w:p w14:paraId="0ACB826E" w14:textId="77777777" w:rsidR="00200B5E" w:rsidRDefault="00200B5E">
      <w:pPr>
        <w:spacing w:after="100"/>
      </w:pPr>
    </w:p>
    <w:p w14:paraId="3C575F06" w14:textId="77777777" w:rsidR="00200B5E" w:rsidRDefault="003D4EEC">
      <w:pPr>
        <w:pStyle w:val="Ttulo2"/>
      </w:pPr>
      <w:r>
        <w:t>4.3 Integración con flujos de investigación universitaria</w:t>
      </w:r>
    </w:p>
    <w:p w14:paraId="7EE53155" w14:textId="77777777" w:rsidR="00200B5E" w:rsidRDefault="003D4EEC">
      <w:pPr>
        <w:spacing w:before="120" w:after="120"/>
        <w:jc w:val="both"/>
      </w:pPr>
      <w:r>
        <w:t xml:space="preserve">Para equipos de investigación en universidades o </w:t>
      </w:r>
      <w:proofErr w:type="spellStart"/>
      <w:r>
        <w:t>CITEs</w:t>
      </w:r>
      <w:proofErr w:type="spellEnd"/>
      <w:r>
        <w:t xml:space="preserve">, se recomienda integrar </w:t>
      </w:r>
      <w:proofErr w:type="spellStart"/>
      <w:r>
        <w:t>Patentame</w:t>
      </w:r>
      <w:proofErr w:type="spellEnd"/>
      <w:r>
        <w:t xml:space="preserve"> en la fase de cierre de proyectos. El momento óptimo es </w:t>
      </w:r>
      <w:r>
        <w:rPr>
          <w:b/>
          <w:bCs/>
          <w:color w:val="4B1A6B"/>
        </w:rPr>
        <w:t>antes de publicar</w:t>
      </w:r>
      <w:r>
        <w:t>: una vez publicado un resultado, se pierde novedad y —con ella— la posibilidad de patentar. Un protocolo básico podría incluir:</w:t>
      </w:r>
    </w:p>
    <w:p w14:paraId="39A28703" w14:textId="77777777" w:rsidR="00200B5E" w:rsidRDefault="00200B5E">
      <w:pPr>
        <w:spacing w:after="60"/>
      </w:pPr>
    </w:p>
    <w:p w14:paraId="2B223EC1" w14:textId="77777777" w:rsidR="00200B5E" w:rsidRDefault="003D4EEC">
      <w:pPr>
        <w:pStyle w:val="Prrafodelista"/>
        <w:numPr>
          <w:ilvl w:val="0"/>
          <w:numId w:val="3"/>
        </w:numPr>
        <w:spacing w:before="60" w:after="60"/>
      </w:pPr>
      <w:r>
        <w:t>Evaluación rápida de patentabilidad al cierre del proyecto (novedad, actividad inventiva, aplicación industrial).</w:t>
      </w:r>
    </w:p>
    <w:p w14:paraId="5BCE4296" w14:textId="77777777" w:rsidR="00200B5E" w:rsidRDefault="003D4EEC">
      <w:pPr>
        <w:pStyle w:val="Prrafodelista"/>
        <w:numPr>
          <w:ilvl w:val="0"/>
          <w:numId w:val="3"/>
        </w:numPr>
        <w:spacing w:before="60" w:after="60"/>
      </w:pPr>
      <w:r>
        <w:lastRenderedPageBreak/>
        <w:t xml:space="preserve">Uso de </w:t>
      </w:r>
      <w:proofErr w:type="spellStart"/>
      <w:r>
        <w:t>Patentame</w:t>
      </w:r>
      <w:proofErr w:type="spellEnd"/>
      <w:r>
        <w:t xml:space="preserve"> para generar un borrador preliminar en formato INDECOPI.</w:t>
      </w:r>
    </w:p>
    <w:p w14:paraId="12DD517B" w14:textId="77777777" w:rsidR="00200B5E" w:rsidRDefault="003D4EEC">
      <w:pPr>
        <w:pStyle w:val="Prrafodelista"/>
        <w:numPr>
          <w:ilvl w:val="0"/>
          <w:numId w:val="3"/>
        </w:numPr>
        <w:spacing w:before="60" w:after="60"/>
      </w:pPr>
      <w:r>
        <w:t>Revisión del borrador con la OTT institucional o un agente de patentes externo.</w:t>
      </w:r>
    </w:p>
    <w:p w14:paraId="4F8B9F1E" w14:textId="77777777" w:rsidR="00200B5E" w:rsidRDefault="003D4EEC">
      <w:pPr>
        <w:pStyle w:val="Prrafodelista"/>
        <w:numPr>
          <w:ilvl w:val="0"/>
          <w:numId w:val="3"/>
        </w:numPr>
        <w:spacing w:before="60" w:after="60"/>
      </w:pPr>
      <w:r>
        <w:t>Presentación ante INDECOPI con acompañamiento del programa Patenta o financiamiento PROCIENCIA-PCT.</w:t>
      </w:r>
    </w:p>
    <w:p w14:paraId="3A642E05" w14:textId="77777777" w:rsidR="00200B5E" w:rsidRDefault="00200B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200B5E" w14:paraId="72A54508" w14:textId="77777777">
        <w:tc>
          <w:tcPr>
            <w:tcW w:w="480" w:type="dxa"/>
            <w:tcBorders>
              <w:top w:val="none" w:sz="0" w:space="0" w:color="FFFFFF"/>
              <w:left w:val="none" w:sz="0" w:space="0" w:color="FFFFFF"/>
              <w:bottom w:val="none" w:sz="0" w:space="0" w:color="FFFFFF"/>
              <w:right w:val="none" w:sz="0" w:space="0" w:color="FFFFFF"/>
            </w:tcBorders>
            <w:shd w:val="clear" w:color="auto" w:fill="E8D5F5"/>
            <w:tcMar>
              <w:top w:w="100" w:type="dxa"/>
              <w:left w:w="120" w:type="dxa"/>
              <w:bottom w:w="100" w:type="dxa"/>
              <w:right w:w="80" w:type="dxa"/>
            </w:tcMar>
            <w:vAlign w:val="center"/>
          </w:tcPr>
          <w:p w14:paraId="304653C7" w14:textId="77777777" w:rsidR="00200B5E" w:rsidRDefault="003D4EEC">
            <w:pPr>
              <w:jc w:val="center"/>
            </w:pPr>
            <w:r>
              <w:rPr>
                <w:rFonts w:ascii="Segoe UI Emoji" w:eastAsia="Segoe UI Emoji" w:hAnsi="Segoe UI Emoji" w:cs="Segoe UI Emoji"/>
                <w:sz w:val="28"/>
                <w:szCs w:val="28"/>
              </w:rPr>
              <w:t>🔍</w:t>
            </w:r>
          </w:p>
        </w:tc>
        <w:tc>
          <w:tcPr>
            <w:tcW w:w="8880" w:type="dxa"/>
            <w:tcBorders>
              <w:top w:val="none" w:sz="0" w:space="0" w:color="FFFFFF"/>
              <w:left w:val="none" w:sz="0" w:space="0" w:color="FFFFFF"/>
              <w:bottom w:val="none" w:sz="0" w:space="0" w:color="FFFFFF"/>
              <w:right w:val="none" w:sz="0" w:space="0" w:color="FFFFFF"/>
            </w:tcBorders>
            <w:shd w:val="clear" w:color="auto" w:fill="F9F0FF"/>
            <w:tcMar>
              <w:top w:w="100" w:type="dxa"/>
              <w:left w:w="160" w:type="dxa"/>
              <w:bottom w:w="100" w:type="dxa"/>
              <w:right w:w="120" w:type="dxa"/>
            </w:tcMar>
          </w:tcPr>
          <w:p w14:paraId="1508CA98" w14:textId="77777777" w:rsidR="00200B5E" w:rsidRDefault="003D4EEC">
            <w:pPr>
              <w:spacing w:after="40"/>
            </w:pPr>
            <w:r>
              <w:rPr>
                <w:b/>
                <w:bCs/>
                <w:color w:val="4B1A6B"/>
              </w:rPr>
              <w:t>Tip — Búsqueda de arte previo gratuita</w:t>
            </w:r>
          </w:p>
          <w:p w14:paraId="0D50DFC5" w14:textId="77777777" w:rsidR="00200B5E" w:rsidRDefault="003D4EEC">
            <w:r>
              <w:rPr>
                <w:color w:val="4A4A6A"/>
                <w:sz w:val="20"/>
                <w:szCs w:val="20"/>
              </w:rPr>
              <w:t xml:space="preserve">Antes de iniciar la redacción, verificar en </w:t>
            </w:r>
            <w:proofErr w:type="spellStart"/>
            <w:r>
              <w:rPr>
                <w:color w:val="4A4A6A"/>
                <w:sz w:val="20"/>
                <w:szCs w:val="20"/>
              </w:rPr>
              <w:t>Espacenet</w:t>
            </w:r>
            <w:proofErr w:type="spellEnd"/>
            <w:r>
              <w:rPr>
                <w:color w:val="4A4A6A"/>
                <w:sz w:val="20"/>
                <w:szCs w:val="20"/>
              </w:rPr>
              <w:t xml:space="preserve"> (espacenet.epo.org) con los términos técnicos clave de la invención. </w:t>
            </w:r>
            <w:proofErr w:type="spellStart"/>
            <w:r>
              <w:rPr>
                <w:color w:val="4A4A6A"/>
                <w:sz w:val="20"/>
                <w:szCs w:val="20"/>
              </w:rPr>
              <w:t>Patentame</w:t>
            </w:r>
            <w:proofErr w:type="spellEnd"/>
            <w:r>
              <w:rPr>
                <w:color w:val="4A4A6A"/>
                <w:sz w:val="20"/>
                <w:szCs w:val="20"/>
              </w:rPr>
              <w:t xml:space="preserve"> incluye un módulo de vigilancia tecnológica que facilita esta búsqueda. Si hay patentes similares, es señal de que hay que delimitar mejor las reivindicaciones, no necesariamente de que la idea no es patentable.</w:t>
            </w:r>
          </w:p>
        </w:tc>
      </w:tr>
    </w:tbl>
    <w:p w14:paraId="49563426" w14:textId="77777777" w:rsidR="00200B5E" w:rsidRDefault="00200B5E">
      <w:pPr>
        <w:spacing w:after="120"/>
      </w:pPr>
    </w:p>
    <w:p w14:paraId="0B1B738B" w14:textId="77777777" w:rsidR="00200B5E" w:rsidRDefault="003D4EEC">
      <w:pPr>
        <w:pStyle w:val="Ttulo1"/>
        <w:pBdr>
          <w:bottom w:val="single" w:sz="8" w:space="6" w:color="7B2D8B"/>
        </w:pBdr>
      </w:pPr>
      <w:r>
        <w:t xml:space="preserve">5. Impacto potencial en universidades y </w:t>
      </w:r>
      <w:proofErr w:type="spellStart"/>
      <w:r>
        <w:t>CITEs</w:t>
      </w:r>
      <w:proofErr w:type="spellEnd"/>
    </w:p>
    <w:p w14:paraId="372C57E4" w14:textId="77777777" w:rsidR="00200B5E" w:rsidRDefault="003D4EEC">
      <w:pPr>
        <w:spacing w:before="120" w:after="120"/>
        <w:jc w:val="both"/>
      </w:pPr>
      <w:r>
        <w:t xml:space="preserve">El potencial de adopción de </w:t>
      </w:r>
      <w:proofErr w:type="spellStart"/>
      <w:r>
        <w:t>Patentame</w:t>
      </w:r>
      <w:proofErr w:type="spellEnd"/>
      <w:r>
        <w:t xml:space="preserve"> en el ecosistema peruano no es hipotético. Es calculable. Si se considera que las universidades presentaron </w:t>
      </w:r>
      <w:r>
        <w:rPr>
          <w:b/>
          <w:bCs/>
          <w:color w:val="4B1A6B"/>
        </w:rPr>
        <w:t>968 solicitudes nacionales en 2025</w:t>
      </w:r>
      <w:r>
        <w:t xml:space="preserve"> —y que la UNI, PUCP, UPCH y UNMSM concentran la mayoría de esa actividad—, existe ya una masa crítica de investigadores con disposición a patentar. El problema es que muchos de ellos lo hacen a través del programa Patenta de INDECOPI, que tiene capacidad limitada.</w:t>
      </w:r>
    </w:p>
    <w:p w14:paraId="3B3488BD" w14:textId="77777777" w:rsidR="00200B5E" w:rsidRDefault="00200B5E">
      <w:pPr>
        <w:spacing w:after="80"/>
      </w:pPr>
    </w:p>
    <w:p w14:paraId="696E9C5D" w14:textId="77777777" w:rsidR="00200B5E" w:rsidRDefault="003D4EEC">
      <w:pPr>
        <w:spacing w:before="120" w:after="120"/>
        <w:jc w:val="both"/>
      </w:pPr>
      <w:r>
        <w:t xml:space="preserve">Una herramienta de código abierto, adoptada institucionalmente por las </w:t>
      </w:r>
      <w:proofErr w:type="spellStart"/>
      <w:r>
        <w:t>OTTs</w:t>
      </w:r>
      <w:proofErr w:type="spellEnd"/>
      <w:r>
        <w:t xml:space="preserve"> universitarias o los </w:t>
      </w:r>
      <w:proofErr w:type="spellStart"/>
      <w:r>
        <w:t>CITEs</w:t>
      </w:r>
      <w:proofErr w:type="spellEnd"/>
      <w:r>
        <w:t>, podría:</w:t>
      </w:r>
    </w:p>
    <w:p w14:paraId="53719697" w14:textId="77777777" w:rsidR="00200B5E" w:rsidRDefault="00200B5E">
      <w:pPr>
        <w:spacing w:after="60"/>
      </w:pPr>
    </w:p>
    <w:p w14:paraId="47AB13E5" w14:textId="77777777" w:rsidR="00200B5E" w:rsidRDefault="003D4EEC">
      <w:pPr>
        <w:pStyle w:val="Prrafodelista"/>
        <w:numPr>
          <w:ilvl w:val="0"/>
          <w:numId w:val="3"/>
        </w:numPr>
        <w:spacing w:before="60" w:after="60"/>
      </w:pPr>
      <w:r>
        <w:t>Reducir el tiempo de preparación de una solicitud de 3-6 semanas a 1-2 semanas, liberando capacidad de los agentes de patentes para tareas de mayor complejidad.</w:t>
      </w:r>
    </w:p>
    <w:p w14:paraId="09270765" w14:textId="77777777" w:rsidR="00200B5E" w:rsidRDefault="003D4EEC">
      <w:pPr>
        <w:pStyle w:val="Prrafodelista"/>
        <w:numPr>
          <w:ilvl w:val="0"/>
          <w:numId w:val="3"/>
        </w:numPr>
        <w:spacing w:before="60" w:after="60"/>
      </w:pPr>
      <w:r>
        <w:t>Aumentar el número de solicitudes "maduras" (correctamente estructuradas) que llegan a INDECOPI, reduciendo los plazos de tramitación —actualmente de 40.8 meses en promedio.</w:t>
      </w:r>
    </w:p>
    <w:p w14:paraId="395360F1" w14:textId="77777777" w:rsidR="00200B5E" w:rsidRDefault="003D4EEC">
      <w:pPr>
        <w:pStyle w:val="Prrafodelista"/>
        <w:numPr>
          <w:ilvl w:val="0"/>
          <w:numId w:val="3"/>
        </w:numPr>
        <w:spacing w:before="60" w:after="60"/>
      </w:pPr>
      <w:r>
        <w:t>Generar un acervo institucional de conocimiento: cada solicitud redactada con la herramienta puede funcionar como caso de estudio para la formación de futuros gestores tecnológicos.</w:t>
      </w:r>
    </w:p>
    <w:p w14:paraId="4EBAE0AE" w14:textId="77777777" w:rsidR="00200B5E" w:rsidRDefault="003D4EEC">
      <w:pPr>
        <w:pStyle w:val="Prrafodelista"/>
        <w:numPr>
          <w:ilvl w:val="0"/>
          <w:numId w:val="3"/>
        </w:numPr>
        <w:spacing w:before="60" w:after="60"/>
      </w:pPr>
      <w:r>
        <w:t>Facilitar el paso de modelo de utilidad a patente de invención, elevando el umbral inventivo de las solicitudes universitarias.</w:t>
      </w:r>
    </w:p>
    <w:p w14:paraId="724A58F6" w14:textId="77777777" w:rsidR="00200B5E" w:rsidRDefault="003D4EEC">
      <w:pPr>
        <w:pStyle w:val="Prrafodelista"/>
        <w:numPr>
          <w:ilvl w:val="0"/>
          <w:numId w:val="3"/>
        </w:numPr>
        <w:spacing w:before="60" w:after="60"/>
      </w:pPr>
      <w:r>
        <w:t>Servir como material pedagógico en cursos de gestión de la propiedad intelectual en MBA, posgrados de ingeniería y programas de emprendimiento.</w:t>
      </w:r>
    </w:p>
    <w:p w14:paraId="2943C8D5" w14:textId="77777777" w:rsidR="00200B5E" w:rsidRDefault="00200B5E">
      <w:pPr>
        <w:spacing w:after="100"/>
      </w:pPr>
    </w:p>
    <w:p w14:paraId="287C69C6" w14:textId="77777777" w:rsidR="00200B5E" w:rsidRDefault="003D4EEC">
      <w:pPr>
        <w:pStyle w:val="Ttulo2"/>
      </w:pPr>
      <w:r>
        <w:t xml:space="preserve">5.1 Una propuesta concreta para </w:t>
      </w:r>
      <w:proofErr w:type="spellStart"/>
      <w:r>
        <w:t>CITEs</w:t>
      </w:r>
      <w:proofErr w:type="spellEnd"/>
    </w:p>
    <w:p w14:paraId="47F294F7" w14:textId="77777777" w:rsidR="00200B5E" w:rsidRDefault="003D4EEC">
      <w:pPr>
        <w:spacing w:before="120" w:after="120"/>
        <w:jc w:val="both"/>
      </w:pPr>
      <w:r>
        <w:t xml:space="preserve">Los 46 </w:t>
      </w:r>
      <w:proofErr w:type="spellStart"/>
      <w:r>
        <w:t>CITEs</w:t>
      </w:r>
      <w:proofErr w:type="spellEnd"/>
      <w:r>
        <w:t xml:space="preserve"> distribuidos en 25 regiones del Perú atienden a más de </w:t>
      </w:r>
      <w:r>
        <w:rPr>
          <w:b/>
          <w:bCs/>
          <w:color w:val="4B1A6B"/>
        </w:rPr>
        <w:t>22,755 unidades productivas</w:t>
      </w:r>
      <w:r>
        <w:t xml:space="preserve"> anualmente. Una fracción significativa de esas interacciones genera soluciones técnicas con potencial de protección por modelos de utilidad. Sin embargo, la red CITE carece de personal especializado en propiedad intelectual en la mayoría de sus centros.</w:t>
      </w:r>
    </w:p>
    <w:p w14:paraId="40499EDF" w14:textId="77777777" w:rsidR="00200B5E" w:rsidRDefault="00200B5E">
      <w:pPr>
        <w:spacing w:after="80"/>
      </w:pPr>
    </w:p>
    <w:p w14:paraId="6360B45D" w14:textId="77777777" w:rsidR="00200B5E" w:rsidRDefault="003D4EEC">
      <w:pPr>
        <w:spacing w:before="120" w:after="120"/>
        <w:jc w:val="both"/>
      </w:pPr>
      <w:r>
        <w:lastRenderedPageBreak/>
        <w:t xml:space="preserve">La propuesta es sencilla: </w:t>
      </w:r>
      <w:r>
        <w:rPr>
          <w:b/>
          <w:bCs/>
          <w:color w:val="4B1A6B"/>
        </w:rPr>
        <w:t xml:space="preserve">incorporar </w:t>
      </w:r>
      <w:proofErr w:type="spellStart"/>
      <w:r>
        <w:rPr>
          <w:b/>
          <w:bCs/>
          <w:color w:val="4B1A6B"/>
        </w:rPr>
        <w:t>Patentame</w:t>
      </w:r>
      <w:proofErr w:type="spellEnd"/>
      <w:r>
        <w:rPr>
          <w:b/>
          <w:bCs/>
          <w:color w:val="4B1A6B"/>
        </w:rPr>
        <w:t xml:space="preserve"> como herramienta estándar en el protocolo de asistencia técnica de los </w:t>
      </w:r>
      <w:proofErr w:type="spellStart"/>
      <w:r>
        <w:rPr>
          <w:b/>
          <w:bCs/>
          <w:color w:val="4B1A6B"/>
        </w:rPr>
        <w:t>CITEs</w:t>
      </w:r>
      <w:proofErr w:type="spellEnd"/>
      <w:r>
        <w:t xml:space="preserve">, especialmente en los sectores de mayor actividad inventiva (agroindustria, textil-confecciones, pesca y calzado). Esto no requiere grandes inversiones —el código es abierto y gratuito— sino </w:t>
      </w:r>
      <w:r>
        <w:rPr>
          <w:b/>
          <w:bCs/>
          <w:color w:val="4B1A6B"/>
        </w:rPr>
        <w:t>voluntad institucional y un proceso de capacitación del personal técnico.</w:t>
      </w:r>
      <w:r>
        <w:t xml:space="preserve"> El ITP podría formalizar esta integración como parte de las convocatorias de fortalecimiento de capacidades que ya opera.</w:t>
      </w:r>
    </w:p>
    <w:p w14:paraId="0FF44E72" w14:textId="77777777" w:rsidR="00200B5E" w:rsidRDefault="00200B5E">
      <w:pPr>
        <w:spacing w:after="120"/>
      </w:pPr>
    </w:p>
    <w:p w14:paraId="2A722C27" w14:textId="77777777" w:rsidR="00200B5E" w:rsidRDefault="003D4EEC">
      <w:pPr>
        <w:pStyle w:val="Ttulo1"/>
        <w:pBdr>
          <w:bottom w:val="single" w:sz="8" w:space="6" w:color="7B2D8B"/>
        </w:pBdr>
      </w:pPr>
      <w:r>
        <w:t xml:space="preserve">6. Lo que </w:t>
      </w:r>
      <w:proofErr w:type="spellStart"/>
      <w:r>
        <w:t>Patentame</w:t>
      </w:r>
      <w:proofErr w:type="spellEnd"/>
      <w:r>
        <w:t xml:space="preserve"> no puede resolver (y por qué importa decirlo)</w:t>
      </w:r>
    </w:p>
    <w:p w14:paraId="7914AB9B" w14:textId="77777777" w:rsidR="00200B5E" w:rsidRDefault="003D4EEC">
      <w:pPr>
        <w:spacing w:before="120" w:after="120"/>
        <w:jc w:val="both"/>
      </w:pPr>
      <w:r>
        <w:t xml:space="preserve">Sería deshonesto concluir este artículo sin señalar los límites de la propuesta. </w:t>
      </w:r>
      <w:proofErr w:type="spellStart"/>
      <w:r>
        <w:t>Patentame</w:t>
      </w:r>
      <w:proofErr w:type="spellEnd"/>
      <w:r>
        <w:t xml:space="preserve"> es una herramienta de redacción asistida: </w:t>
      </w:r>
      <w:r>
        <w:rPr>
          <w:b/>
          <w:bCs/>
          <w:color w:val="C0550B"/>
        </w:rPr>
        <w:t>no sustituye el asesoramiento jurídico especializado, no garantiza la aprobación de la solicitud y no resuelve el problema de fondo de la subinversión en I+D.</w:t>
      </w:r>
    </w:p>
    <w:p w14:paraId="2908588A" w14:textId="77777777" w:rsidR="00200B5E" w:rsidRDefault="00200B5E">
      <w:pPr>
        <w:spacing w:after="80"/>
      </w:pPr>
    </w:p>
    <w:p w14:paraId="40396A18" w14:textId="77777777" w:rsidR="00200B5E" w:rsidRDefault="003D4EEC">
      <w:pPr>
        <w:spacing w:before="120" w:after="120"/>
        <w:jc w:val="both"/>
      </w:pPr>
      <w:r>
        <w:t xml:space="preserve">El riesgo más significativo es que una herramienta de bajo costo genere una ilusión de acceso: investigadores que presentan solicitudes mal fundamentadas, que consumen recursos de INDECOPI y generan falsas expectativas. Este riesgo se mitiga con un modelo de uso responsable que </w:t>
      </w:r>
      <w:r>
        <w:rPr>
          <w:b/>
          <w:bCs/>
          <w:color w:val="4B1A6B"/>
        </w:rPr>
        <w:t>no excluya el acompañamiento profesional, sino que lo prepare mejor.</w:t>
      </w:r>
      <w:r>
        <w:t xml:space="preserve"> </w:t>
      </w:r>
      <w:proofErr w:type="spellStart"/>
      <w:r>
        <w:t>Patentame</w:t>
      </w:r>
      <w:proofErr w:type="spellEnd"/>
      <w:r>
        <w:t xml:space="preserve"> debe verse como un primer filtro —no como un reemplazo del sistema.</w:t>
      </w:r>
    </w:p>
    <w:p w14:paraId="75A7EAE4" w14:textId="77777777" w:rsidR="00200B5E" w:rsidRDefault="00200B5E">
      <w:pPr>
        <w:spacing w:after="80"/>
      </w:pPr>
    </w:p>
    <w:p w14:paraId="45EB144E" w14:textId="77777777" w:rsidR="00200B5E" w:rsidRDefault="003D4EEC">
      <w:pPr>
        <w:spacing w:before="120" w:after="120"/>
        <w:jc w:val="both"/>
      </w:pPr>
      <w:r>
        <w:t>El segundo riesgo es la sostenibilidad del proyecto. Al ser de código abierto y de iniciativa privada (</w:t>
      </w:r>
      <w:proofErr w:type="spellStart"/>
      <w:r>
        <w:t>BioGenia</w:t>
      </w:r>
      <w:proofErr w:type="spellEnd"/>
      <w:r>
        <w:t xml:space="preserve"> </w:t>
      </w:r>
      <w:proofErr w:type="spellStart"/>
      <w:r>
        <w:t>Lab</w:t>
      </w:r>
      <w:proofErr w:type="spellEnd"/>
      <w:r>
        <w:t>), no tiene garantía de mantenimiento a largo plazo. Una adopción institucional —por parte de INDECOPI, PROCIENCIA o el ITP— podría darle la estabilidad que necesita para convertirse en infraestructura pública de innovación.</w:t>
      </w:r>
    </w:p>
    <w:p w14:paraId="6676C854" w14:textId="77777777" w:rsidR="00200B5E" w:rsidRDefault="00200B5E">
      <w:pPr>
        <w:spacing w:after="80"/>
      </w:pPr>
    </w:p>
    <w:p w14:paraId="75F0301B" w14:textId="77777777" w:rsidR="00200B5E" w:rsidRDefault="003D4EEC">
      <w:pPr>
        <w:spacing w:before="120" w:after="120"/>
        <w:jc w:val="both"/>
      </w:pPr>
      <w:r>
        <w:t xml:space="preserve">Finalmente, está el problema que ninguna herramienta puede resolver por sí sola: la </w:t>
      </w:r>
      <w:r>
        <w:rPr>
          <w:b/>
          <w:bCs/>
          <w:color w:val="4B1A6B"/>
        </w:rPr>
        <w:t>cultura del patentamiento.</w:t>
      </w:r>
      <w:r>
        <w:t xml:space="preserve"> En el Perú, la patente sigue siendo percibida como un trámite burocrático más que como un instrumento estratégico de gestión del conocimiento. Cambiar esa percepción requiere educación, casos de éxito visibles y, sobre todo, que los investigadores vean que sus patentes generan retornos reales —lo que implica resolver el problema de las </w:t>
      </w:r>
      <w:proofErr w:type="spellStart"/>
      <w:r>
        <w:t>OTTs</w:t>
      </w:r>
      <w:proofErr w:type="spellEnd"/>
      <w:r>
        <w:t xml:space="preserve"> universitarias y el licenciamiento efectivo.</w:t>
      </w:r>
    </w:p>
    <w:p w14:paraId="1A7263BD" w14:textId="77777777" w:rsidR="00200B5E" w:rsidRDefault="00200B5E">
      <w:pPr>
        <w:spacing w:after="120"/>
      </w:pPr>
    </w:p>
    <w:p w14:paraId="3168FABD" w14:textId="257C65BB" w:rsidR="00200B5E" w:rsidRDefault="003D4EEC">
      <w:pPr>
        <w:pStyle w:val="Ttulo1"/>
        <w:pBdr>
          <w:bottom w:val="single" w:sz="8" w:space="6" w:color="7B2D8B"/>
        </w:pBdr>
      </w:pPr>
      <w:r>
        <w:t xml:space="preserve">7. La invitación: </w:t>
      </w:r>
      <w:r w:rsidR="00CC5C7A">
        <w:tab/>
      </w:r>
    </w:p>
    <w:p w14:paraId="2367FD87" w14:textId="77777777" w:rsidR="00200B5E" w:rsidRDefault="003D4EEC">
      <w:pPr>
        <w:spacing w:before="120" w:after="120"/>
        <w:jc w:val="both"/>
      </w:pPr>
      <w:r>
        <w:t>El ecosistema de innovación peruano está en un momento bisagra. Las cifras de solicitudes nacionales crecen, las universidades se involucran y los programas públicos generan tracción. Pero la velocidad de avance es insuficiente frente a la urgencia del rezago.</w:t>
      </w:r>
    </w:p>
    <w:p w14:paraId="6775E7DA" w14:textId="77777777" w:rsidR="00200B5E" w:rsidRDefault="00200B5E">
      <w:pPr>
        <w:spacing w:after="80"/>
      </w:pPr>
    </w:p>
    <w:p w14:paraId="314C7ECC" w14:textId="77777777" w:rsidR="00200B5E" w:rsidRDefault="003D4EEC">
      <w:pPr>
        <w:spacing w:before="120" w:after="120"/>
        <w:jc w:val="both"/>
      </w:pPr>
      <w:proofErr w:type="spellStart"/>
      <w:r>
        <w:t>Patentame</w:t>
      </w:r>
      <w:proofErr w:type="spellEnd"/>
      <w:r>
        <w:t xml:space="preserve"> no es la solución definitiva. Es </w:t>
      </w:r>
      <w:r>
        <w:rPr>
          <w:b/>
          <w:bCs/>
          <w:color w:val="4B1A6B"/>
        </w:rPr>
        <w:t>una solución posible, disponible hoy, de costo cero,</w:t>
      </w:r>
      <w:r>
        <w:t xml:space="preserve"> que puede integrarse en el flujo de trabajo de cualquier investigador, gestor tecnológico o emprendedor con acceso a internet. Su valor no está solo en la herramienta en sí, sino en lo que </w:t>
      </w:r>
      <w:r>
        <w:lastRenderedPageBreak/>
        <w:t>representa: la iniciativa de construir infraestructura digital de innovación desde el propio ecosistema peruano, en español y con criterios OMPI.</w:t>
      </w:r>
    </w:p>
    <w:p w14:paraId="5EA92176" w14:textId="77777777" w:rsidR="00200B5E" w:rsidRDefault="00200B5E">
      <w:pPr>
        <w:spacing w:after="80"/>
      </w:pPr>
    </w:p>
    <w:p w14:paraId="1975A567" w14:textId="77777777" w:rsidR="00200B5E" w:rsidRDefault="003D4EEC">
      <w:pPr>
        <w:spacing w:before="120" w:after="120"/>
        <w:jc w:val="both"/>
      </w:pPr>
      <w:r>
        <w:t xml:space="preserve">La pregunta que corresponde hacerse no es </w:t>
      </w:r>
      <w:r>
        <w:rPr>
          <w:i/>
          <w:iCs/>
          <w:color w:val="4A4A6A"/>
        </w:rPr>
        <w:t xml:space="preserve">"¿es </w:t>
      </w:r>
      <w:proofErr w:type="spellStart"/>
      <w:r>
        <w:rPr>
          <w:i/>
          <w:iCs/>
          <w:color w:val="4A4A6A"/>
        </w:rPr>
        <w:t>Patentame</w:t>
      </w:r>
      <w:proofErr w:type="spellEnd"/>
      <w:r>
        <w:rPr>
          <w:i/>
          <w:iCs/>
          <w:color w:val="4A4A6A"/>
        </w:rPr>
        <w:t xml:space="preserve"> suficiente?"</w:t>
      </w:r>
      <w:r>
        <w:t xml:space="preserve">, sino </w:t>
      </w:r>
      <w:r>
        <w:rPr>
          <w:b/>
          <w:bCs/>
          <w:color w:val="4B1A6B"/>
        </w:rPr>
        <w:t>"¿cuántas patentes de invención podrían haberse presentado si esta herramienta hubiera existido hace cinco años?"</w:t>
      </w:r>
      <w:r>
        <w:t xml:space="preserve"> La respuesta no cambia el pasado, pero puede orientar el presente.</w:t>
      </w:r>
    </w:p>
    <w:p w14:paraId="51572BB8" w14:textId="77777777" w:rsidR="00200B5E" w:rsidRDefault="00200B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200B5E" w14:paraId="345836FF" w14:textId="77777777">
        <w:tc>
          <w:tcPr>
            <w:tcW w:w="480" w:type="dxa"/>
            <w:tcBorders>
              <w:top w:val="none" w:sz="0" w:space="0" w:color="FFFFFF"/>
              <w:left w:val="none" w:sz="0" w:space="0" w:color="FFFFFF"/>
              <w:bottom w:val="none" w:sz="0" w:space="0" w:color="FFFFFF"/>
              <w:right w:val="none" w:sz="0" w:space="0" w:color="FFFFFF"/>
            </w:tcBorders>
            <w:shd w:val="clear" w:color="auto" w:fill="E8D5F5"/>
            <w:tcMar>
              <w:top w:w="100" w:type="dxa"/>
              <w:left w:w="120" w:type="dxa"/>
              <w:bottom w:w="100" w:type="dxa"/>
              <w:right w:w="80" w:type="dxa"/>
            </w:tcMar>
            <w:vAlign w:val="center"/>
          </w:tcPr>
          <w:p w14:paraId="183520BE" w14:textId="77777777" w:rsidR="00200B5E" w:rsidRDefault="003D4EEC">
            <w:pPr>
              <w:jc w:val="center"/>
            </w:pPr>
            <w:r>
              <w:rPr>
                <w:rFonts w:ascii="Segoe UI Emoji" w:eastAsia="Segoe UI Emoji" w:hAnsi="Segoe UI Emoji" w:cs="Segoe UI Emoji"/>
                <w:sz w:val="28"/>
                <w:szCs w:val="28"/>
              </w:rPr>
              <w:t>🚀</w:t>
            </w:r>
          </w:p>
        </w:tc>
        <w:tc>
          <w:tcPr>
            <w:tcW w:w="8880" w:type="dxa"/>
            <w:tcBorders>
              <w:top w:val="none" w:sz="0" w:space="0" w:color="FFFFFF"/>
              <w:left w:val="none" w:sz="0" w:space="0" w:color="FFFFFF"/>
              <w:bottom w:val="none" w:sz="0" w:space="0" w:color="FFFFFF"/>
              <w:right w:val="none" w:sz="0" w:space="0" w:color="FFFFFF"/>
            </w:tcBorders>
            <w:shd w:val="clear" w:color="auto" w:fill="F9F0FF"/>
            <w:tcMar>
              <w:top w:w="100" w:type="dxa"/>
              <w:left w:w="160" w:type="dxa"/>
              <w:bottom w:w="100" w:type="dxa"/>
              <w:right w:w="120" w:type="dxa"/>
            </w:tcMar>
          </w:tcPr>
          <w:p w14:paraId="4935C5E8" w14:textId="77777777" w:rsidR="00200B5E" w:rsidRDefault="003D4EEC">
            <w:pPr>
              <w:spacing w:after="40"/>
            </w:pPr>
            <w:r>
              <w:rPr>
                <w:b/>
                <w:bCs/>
                <w:color w:val="4B1A6B"/>
              </w:rPr>
              <w:t>Llamada a la acción para gestores tecnológicos</w:t>
            </w:r>
          </w:p>
          <w:p w14:paraId="2EF6278E" w14:textId="77777777" w:rsidR="00200B5E" w:rsidRDefault="003D4EEC">
            <w:r>
              <w:rPr>
                <w:color w:val="4A4A6A"/>
                <w:sz w:val="20"/>
                <w:szCs w:val="20"/>
              </w:rPr>
              <w:t xml:space="preserve">Si gestionas una OTT, diriges un CITE o enseñas cursos de propiedad intelectual, prueba </w:t>
            </w:r>
            <w:proofErr w:type="spellStart"/>
            <w:r>
              <w:rPr>
                <w:color w:val="4A4A6A"/>
                <w:sz w:val="20"/>
                <w:szCs w:val="20"/>
              </w:rPr>
              <w:t>Patentame</w:t>
            </w:r>
            <w:proofErr w:type="spellEnd"/>
            <w:r>
              <w:rPr>
                <w:color w:val="4A4A6A"/>
                <w:sz w:val="20"/>
                <w:szCs w:val="20"/>
              </w:rPr>
              <w:t xml:space="preserve"> con un caso real de tu institución. Si encuentras limitaciones, repórtalas en GitHub (Issues). Si encuentras valor, compártelo con tu red. El código abierto se mejora con la comunidad que lo usa.</w:t>
            </w:r>
          </w:p>
        </w:tc>
      </w:tr>
    </w:tbl>
    <w:p w14:paraId="3742A842" w14:textId="77777777" w:rsidR="00200B5E" w:rsidRDefault="00200B5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8775"/>
      </w:tblGrid>
      <w:tr w:rsidR="00200B5E" w14:paraId="681202AC" w14:textId="77777777">
        <w:tc>
          <w:tcPr>
            <w:tcW w:w="480" w:type="dxa"/>
            <w:tcBorders>
              <w:top w:val="none" w:sz="0" w:space="0" w:color="FFFFFF"/>
              <w:left w:val="none" w:sz="0" w:space="0" w:color="FFFFFF"/>
              <w:bottom w:val="none" w:sz="0" w:space="0" w:color="FFFFFF"/>
              <w:right w:val="none" w:sz="0" w:space="0" w:color="FFFFFF"/>
            </w:tcBorders>
            <w:shd w:val="clear" w:color="auto" w:fill="E8D5F5"/>
            <w:tcMar>
              <w:top w:w="100" w:type="dxa"/>
              <w:left w:w="120" w:type="dxa"/>
              <w:bottom w:w="100" w:type="dxa"/>
              <w:right w:w="80" w:type="dxa"/>
            </w:tcMar>
            <w:vAlign w:val="center"/>
          </w:tcPr>
          <w:p w14:paraId="133DBABB" w14:textId="77777777" w:rsidR="00200B5E" w:rsidRDefault="003D4EEC">
            <w:pPr>
              <w:jc w:val="center"/>
            </w:pPr>
            <w:r>
              <w:rPr>
                <w:rFonts w:ascii="Segoe UI Emoji" w:eastAsia="Segoe UI Emoji" w:hAnsi="Segoe UI Emoji" w:cs="Segoe UI Emoji"/>
                <w:sz w:val="28"/>
                <w:szCs w:val="28"/>
              </w:rPr>
              <w:t>📌</w:t>
            </w:r>
          </w:p>
        </w:tc>
        <w:tc>
          <w:tcPr>
            <w:tcW w:w="8880" w:type="dxa"/>
            <w:tcBorders>
              <w:top w:val="none" w:sz="0" w:space="0" w:color="FFFFFF"/>
              <w:left w:val="none" w:sz="0" w:space="0" w:color="FFFFFF"/>
              <w:bottom w:val="none" w:sz="0" w:space="0" w:color="FFFFFF"/>
              <w:right w:val="none" w:sz="0" w:space="0" w:color="FFFFFF"/>
            </w:tcBorders>
            <w:shd w:val="clear" w:color="auto" w:fill="F9F0FF"/>
            <w:tcMar>
              <w:top w:w="100" w:type="dxa"/>
              <w:left w:w="160" w:type="dxa"/>
              <w:bottom w:w="100" w:type="dxa"/>
              <w:right w:w="120" w:type="dxa"/>
            </w:tcMar>
          </w:tcPr>
          <w:p w14:paraId="423147BD" w14:textId="77777777" w:rsidR="00200B5E" w:rsidRDefault="003D4EEC">
            <w:pPr>
              <w:spacing w:after="40"/>
            </w:pPr>
            <w:r>
              <w:rPr>
                <w:b/>
                <w:bCs/>
                <w:color w:val="4B1A6B"/>
              </w:rPr>
              <w:t>Repositorio oficial</w:t>
            </w:r>
          </w:p>
          <w:p w14:paraId="7799F326" w14:textId="77777777" w:rsidR="00200B5E" w:rsidRDefault="003D4EEC">
            <w:r>
              <w:rPr>
                <w:color w:val="4A4A6A"/>
                <w:sz w:val="20"/>
                <w:szCs w:val="20"/>
              </w:rPr>
              <w:t>github.com/</w:t>
            </w:r>
            <w:proofErr w:type="spellStart"/>
            <w:r>
              <w:rPr>
                <w:color w:val="4A4A6A"/>
                <w:sz w:val="20"/>
                <w:szCs w:val="20"/>
              </w:rPr>
              <w:t>scientificbroker</w:t>
            </w:r>
            <w:proofErr w:type="spellEnd"/>
            <w:r>
              <w:rPr>
                <w:color w:val="4A4A6A"/>
                <w:sz w:val="20"/>
                <w:szCs w:val="20"/>
              </w:rPr>
              <w:t>/</w:t>
            </w:r>
            <w:proofErr w:type="spellStart"/>
            <w:r>
              <w:rPr>
                <w:color w:val="4A4A6A"/>
                <w:sz w:val="20"/>
                <w:szCs w:val="20"/>
              </w:rPr>
              <w:t>Patentame</w:t>
            </w:r>
            <w:proofErr w:type="spellEnd"/>
            <w:r>
              <w:rPr>
                <w:color w:val="4A4A6A"/>
                <w:sz w:val="20"/>
                <w:szCs w:val="20"/>
              </w:rPr>
              <w:t xml:space="preserve"> — Disponible gratuitamente. Licencia de código abierto. Contribuciones bienvenidas.</w:t>
            </w:r>
          </w:p>
        </w:tc>
      </w:tr>
    </w:tbl>
    <w:p w14:paraId="15FD62B8" w14:textId="77777777" w:rsidR="00200B5E" w:rsidRDefault="00200B5E">
      <w:pPr>
        <w:spacing w:after="140"/>
      </w:pPr>
    </w:p>
    <w:p w14:paraId="34C0E557" w14:textId="77777777" w:rsidR="00200B5E" w:rsidRDefault="003D4EEC">
      <w:pPr>
        <w:pStyle w:val="Ttulo1"/>
        <w:pBdr>
          <w:bottom w:val="single" w:sz="8" w:space="6" w:color="7B2D8B"/>
        </w:pBdr>
      </w:pPr>
      <w:r>
        <w:t>Referencias</w:t>
      </w:r>
    </w:p>
    <w:p w14:paraId="672B12CB" w14:textId="77777777" w:rsidR="00200B5E" w:rsidRDefault="003D4EEC">
      <w:pPr>
        <w:spacing w:before="120" w:after="120"/>
        <w:jc w:val="both"/>
      </w:pPr>
      <w:r>
        <w:rPr>
          <w:i/>
          <w:iCs/>
          <w:color w:val="4A4A6A"/>
        </w:rPr>
        <w:t xml:space="preserve">OMPI (2024). Country IP </w:t>
      </w:r>
      <w:proofErr w:type="spellStart"/>
      <w:r>
        <w:rPr>
          <w:i/>
          <w:iCs/>
          <w:color w:val="4A4A6A"/>
        </w:rPr>
        <w:t>Statistics</w:t>
      </w:r>
      <w:proofErr w:type="spellEnd"/>
      <w:r>
        <w:rPr>
          <w:i/>
          <w:iCs/>
          <w:color w:val="4A4A6A"/>
        </w:rPr>
        <w:t xml:space="preserve"> </w:t>
      </w:r>
      <w:proofErr w:type="spellStart"/>
      <w:r>
        <w:rPr>
          <w:i/>
          <w:iCs/>
          <w:color w:val="4A4A6A"/>
        </w:rPr>
        <w:t>Profile</w:t>
      </w:r>
      <w:proofErr w:type="spellEnd"/>
      <w:r>
        <w:rPr>
          <w:i/>
          <w:iCs/>
          <w:color w:val="4A4A6A"/>
        </w:rPr>
        <w:t xml:space="preserve"> — Perú. </w:t>
      </w:r>
      <w:proofErr w:type="spellStart"/>
      <w:r>
        <w:rPr>
          <w:i/>
          <w:iCs/>
          <w:color w:val="4A4A6A"/>
        </w:rPr>
        <w:t>World</w:t>
      </w:r>
      <w:proofErr w:type="spellEnd"/>
      <w:r>
        <w:rPr>
          <w:i/>
          <w:iCs/>
          <w:color w:val="4A4A6A"/>
        </w:rPr>
        <w:t xml:space="preserve"> </w:t>
      </w:r>
      <w:proofErr w:type="spellStart"/>
      <w:r>
        <w:rPr>
          <w:i/>
          <w:iCs/>
          <w:color w:val="4A4A6A"/>
        </w:rPr>
        <w:t>Intellectual</w:t>
      </w:r>
      <w:proofErr w:type="spellEnd"/>
      <w:r>
        <w:rPr>
          <w:i/>
          <w:iCs/>
          <w:color w:val="4A4A6A"/>
        </w:rPr>
        <w:t xml:space="preserve"> </w:t>
      </w:r>
      <w:proofErr w:type="spellStart"/>
      <w:r>
        <w:rPr>
          <w:i/>
          <w:iCs/>
          <w:color w:val="4A4A6A"/>
        </w:rPr>
        <w:t>Property</w:t>
      </w:r>
      <w:proofErr w:type="spellEnd"/>
      <w:r>
        <w:rPr>
          <w:i/>
          <w:iCs/>
          <w:color w:val="4A4A6A"/>
        </w:rPr>
        <w:t xml:space="preserve"> </w:t>
      </w:r>
      <w:proofErr w:type="spellStart"/>
      <w:r>
        <w:rPr>
          <w:i/>
          <w:iCs/>
          <w:color w:val="4A4A6A"/>
        </w:rPr>
        <w:t>Organization</w:t>
      </w:r>
      <w:proofErr w:type="spellEnd"/>
      <w:r>
        <w:rPr>
          <w:i/>
          <w:iCs/>
          <w:color w:val="4A4A6A"/>
        </w:rPr>
        <w:t>.</w:t>
      </w:r>
    </w:p>
    <w:p w14:paraId="7A7CEDEE" w14:textId="77777777" w:rsidR="00200B5E" w:rsidRDefault="003D4EEC">
      <w:pPr>
        <w:spacing w:before="120" w:after="120"/>
        <w:jc w:val="both"/>
      </w:pPr>
      <w:r>
        <w:rPr>
          <w:i/>
          <w:iCs/>
          <w:color w:val="4A4A6A"/>
        </w:rPr>
        <w:t>INDECOPI (2025). Programa Patenta: resultados 2024. Instituto Nacional de Defensa de la Competencia y de la Protección de la Propiedad Intelectual.</w:t>
      </w:r>
    </w:p>
    <w:p w14:paraId="25C0AACA" w14:textId="77777777" w:rsidR="00200B5E" w:rsidRDefault="003D4EEC">
      <w:pPr>
        <w:spacing w:before="120" w:after="120"/>
        <w:jc w:val="both"/>
      </w:pPr>
      <w:r>
        <w:rPr>
          <w:i/>
          <w:iCs/>
          <w:color w:val="4A4A6A"/>
        </w:rPr>
        <w:t>PROCIENCIA (2024). Registro de Patentes PCT 2025-01. Convocatoria oficial. Consejo Nacional de Ciencia, Tecnología e Innovación Tecnológica.</w:t>
      </w:r>
    </w:p>
    <w:p w14:paraId="6B64CD70" w14:textId="77777777" w:rsidR="00200B5E" w:rsidRDefault="003D4EEC">
      <w:pPr>
        <w:spacing w:before="120" w:after="120"/>
        <w:jc w:val="both"/>
      </w:pPr>
      <w:r>
        <w:rPr>
          <w:i/>
          <w:iCs/>
          <w:color w:val="4A4A6A"/>
        </w:rPr>
        <w:t>Gestión (2024). INDECOPI: ¿qué universidades peruanas lideraron el ranking de solicitudes de patentes?</w:t>
      </w:r>
    </w:p>
    <w:p w14:paraId="152A3B86" w14:textId="77777777" w:rsidR="00200B5E" w:rsidRDefault="003D4EEC">
      <w:pPr>
        <w:spacing w:before="120" w:after="120"/>
        <w:jc w:val="both"/>
      </w:pPr>
      <w:proofErr w:type="spellStart"/>
      <w:r>
        <w:rPr>
          <w:i/>
          <w:iCs/>
          <w:color w:val="4A4A6A"/>
        </w:rPr>
        <w:t>SCImago</w:t>
      </w:r>
      <w:proofErr w:type="spellEnd"/>
      <w:r>
        <w:rPr>
          <w:i/>
          <w:iCs/>
          <w:color w:val="4A4A6A"/>
        </w:rPr>
        <w:t xml:space="preserve"> (2023). </w:t>
      </w:r>
      <w:proofErr w:type="spellStart"/>
      <w:r>
        <w:rPr>
          <w:i/>
          <w:iCs/>
          <w:color w:val="4A4A6A"/>
        </w:rPr>
        <w:t>SCImago</w:t>
      </w:r>
      <w:proofErr w:type="spellEnd"/>
      <w:r>
        <w:rPr>
          <w:i/>
          <w:iCs/>
          <w:color w:val="4A4A6A"/>
        </w:rPr>
        <w:t xml:space="preserve"> Insights 2023. Análisis de producción científica iberoamericana.</w:t>
      </w:r>
    </w:p>
    <w:p w14:paraId="103A44A5" w14:textId="77777777" w:rsidR="00200B5E" w:rsidRDefault="003D4EEC">
      <w:pPr>
        <w:spacing w:before="120" w:after="120"/>
        <w:jc w:val="both"/>
      </w:pPr>
      <w:proofErr w:type="spellStart"/>
      <w:r>
        <w:rPr>
          <w:i/>
          <w:iCs/>
          <w:color w:val="4A4A6A"/>
        </w:rPr>
        <w:t>ScienceDirect</w:t>
      </w:r>
      <w:proofErr w:type="spellEnd"/>
      <w:r>
        <w:rPr>
          <w:i/>
          <w:iCs/>
          <w:color w:val="4A4A6A"/>
        </w:rPr>
        <w:t xml:space="preserve"> (2025). AI-</w:t>
      </w:r>
      <w:proofErr w:type="spellStart"/>
      <w:r>
        <w:rPr>
          <w:i/>
          <w:iCs/>
          <w:color w:val="4A4A6A"/>
        </w:rPr>
        <w:t>assisted</w:t>
      </w:r>
      <w:proofErr w:type="spellEnd"/>
      <w:r>
        <w:rPr>
          <w:i/>
          <w:iCs/>
          <w:color w:val="4A4A6A"/>
        </w:rPr>
        <w:t xml:space="preserve"> </w:t>
      </w:r>
      <w:proofErr w:type="spellStart"/>
      <w:r>
        <w:rPr>
          <w:i/>
          <w:iCs/>
          <w:color w:val="4A4A6A"/>
        </w:rPr>
        <w:t>patent</w:t>
      </w:r>
      <w:proofErr w:type="spellEnd"/>
      <w:r>
        <w:rPr>
          <w:i/>
          <w:iCs/>
          <w:color w:val="4A4A6A"/>
        </w:rPr>
        <w:t xml:space="preserve"> </w:t>
      </w:r>
      <w:proofErr w:type="spellStart"/>
      <w:r>
        <w:rPr>
          <w:i/>
          <w:iCs/>
          <w:color w:val="4A4A6A"/>
        </w:rPr>
        <w:t>drafting</w:t>
      </w:r>
      <w:proofErr w:type="spellEnd"/>
      <w:r>
        <w:rPr>
          <w:i/>
          <w:iCs/>
          <w:color w:val="4A4A6A"/>
        </w:rPr>
        <w:t xml:space="preserve"> </w:t>
      </w:r>
      <w:proofErr w:type="spellStart"/>
      <w:r>
        <w:rPr>
          <w:i/>
          <w:iCs/>
          <w:color w:val="4A4A6A"/>
        </w:rPr>
        <w:t>tools</w:t>
      </w:r>
      <w:proofErr w:type="spellEnd"/>
      <w:r>
        <w:rPr>
          <w:i/>
          <w:iCs/>
          <w:color w:val="4A4A6A"/>
        </w:rPr>
        <w:t xml:space="preserve">: a </w:t>
      </w:r>
      <w:proofErr w:type="spellStart"/>
      <w:r>
        <w:rPr>
          <w:i/>
          <w:iCs/>
          <w:color w:val="4A4A6A"/>
        </w:rPr>
        <w:t>patent</w:t>
      </w:r>
      <w:proofErr w:type="spellEnd"/>
      <w:r>
        <w:rPr>
          <w:i/>
          <w:iCs/>
          <w:color w:val="4A4A6A"/>
        </w:rPr>
        <w:t xml:space="preserve"> </w:t>
      </w:r>
      <w:proofErr w:type="spellStart"/>
      <w:r>
        <w:rPr>
          <w:i/>
          <w:iCs/>
          <w:color w:val="4A4A6A"/>
        </w:rPr>
        <w:t>landscape</w:t>
      </w:r>
      <w:proofErr w:type="spellEnd"/>
      <w:r>
        <w:rPr>
          <w:i/>
          <w:iCs/>
          <w:color w:val="4A4A6A"/>
        </w:rPr>
        <w:t xml:space="preserve"> &amp; future prospectives. WORLD PATENT INFORMATION.</w:t>
      </w:r>
    </w:p>
    <w:p w14:paraId="266833ED" w14:textId="77777777" w:rsidR="00200B5E" w:rsidRDefault="003D4EEC">
      <w:pPr>
        <w:spacing w:before="120" w:after="120"/>
        <w:jc w:val="both"/>
      </w:pPr>
      <w:proofErr w:type="spellStart"/>
      <w:r>
        <w:rPr>
          <w:i/>
          <w:iCs/>
          <w:color w:val="4A4A6A"/>
        </w:rPr>
        <w:t>ComexPerú</w:t>
      </w:r>
      <w:proofErr w:type="spellEnd"/>
      <w:r>
        <w:rPr>
          <w:i/>
          <w:iCs/>
          <w:color w:val="4A4A6A"/>
        </w:rPr>
        <w:t xml:space="preserve"> (2023). Desempeño de los CITE. Análisis de la red de Centros de Innovación Productiva y Transferencia Tecnológica.</w:t>
      </w:r>
    </w:p>
    <w:p w14:paraId="069CD79A" w14:textId="77777777" w:rsidR="00200B5E" w:rsidRDefault="003D4EEC">
      <w:pPr>
        <w:spacing w:before="120" w:after="120"/>
        <w:jc w:val="both"/>
      </w:pPr>
      <w:r>
        <w:rPr>
          <w:i/>
          <w:iCs/>
          <w:color w:val="4A4A6A"/>
        </w:rPr>
        <w:t xml:space="preserve">Andina (2025). Fortalecen y relanzan a </w:t>
      </w:r>
      <w:proofErr w:type="spellStart"/>
      <w:r>
        <w:rPr>
          <w:i/>
          <w:iCs/>
          <w:color w:val="4A4A6A"/>
        </w:rPr>
        <w:t>ProInnóvate</w:t>
      </w:r>
      <w:proofErr w:type="spellEnd"/>
      <w:r>
        <w:rPr>
          <w:i/>
          <w:iCs/>
          <w:color w:val="4A4A6A"/>
        </w:rPr>
        <w:t xml:space="preserve"> para impulsar productividad de 135,000 </w:t>
      </w:r>
      <w:proofErr w:type="spellStart"/>
      <w:r>
        <w:rPr>
          <w:i/>
          <w:iCs/>
          <w:color w:val="4A4A6A"/>
        </w:rPr>
        <w:t>mipymes</w:t>
      </w:r>
      <w:proofErr w:type="spellEnd"/>
      <w:r>
        <w:rPr>
          <w:i/>
          <w:iCs/>
          <w:color w:val="4A4A6A"/>
        </w:rPr>
        <w:t>.</w:t>
      </w:r>
    </w:p>
    <w:p w14:paraId="4A07F3E1" w14:textId="77777777" w:rsidR="00200B5E" w:rsidRDefault="003D4EEC">
      <w:pPr>
        <w:spacing w:before="120" w:after="120"/>
        <w:jc w:val="both"/>
      </w:pPr>
      <w:proofErr w:type="spellStart"/>
      <w:r>
        <w:rPr>
          <w:i/>
          <w:iCs/>
          <w:color w:val="4A4A6A"/>
        </w:rPr>
        <w:t>The</w:t>
      </w:r>
      <w:proofErr w:type="spellEnd"/>
      <w:r>
        <w:rPr>
          <w:i/>
          <w:iCs/>
          <w:color w:val="4A4A6A"/>
        </w:rPr>
        <w:t xml:space="preserve"> Global </w:t>
      </w:r>
      <w:proofErr w:type="spellStart"/>
      <w:r>
        <w:rPr>
          <w:i/>
          <w:iCs/>
          <w:color w:val="4A4A6A"/>
        </w:rPr>
        <w:t>Economy</w:t>
      </w:r>
      <w:proofErr w:type="spellEnd"/>
      <w:r>
        <w:rPr>
          <w:i/>
          <w:iCs/>
          <w:color w:val="4A4A6A"/>
        </w:rPr>
        <w:t xml:space="preserve"> (2024). </w:t>
      </w:r>
      <w:proofErr w:type="spellStart"/>
      <w:r>
        <w:rPr>
          <w:i/>
          <w:iCs/>
          <w:color w:val="4A4A6A"/>
        </w:rPr>
        <w:t>Peru</w:t>
      </w:r>
      <w:proofErr w:type="spellEnd"/>
      <w:r>
        <w:rPr>
          <w:i/>
          <w:iCs/>
          <w:color w:val="4A4A6A"/>
        </w:rPr>
        <w:t xml:space="preserve">: </w:t>
      </w:r>
      <w:proofErr w:type="spellStart"/>
      <w:r>
        <w:rPr>
          <w:i/>
          <w:iCs/>
          <w:color w:val="4A4A6A"/>
        </w:rPr>
        <w:t>Research</w:t>
      </w:r>
      <w:proofErr w:type="spellEnd"/>
      <w:r>
        <w:rPr>
          <w:i/>
          <w:iCs/>
          <w:color w:val="4A4A6A"/>
        </w:rPr>
        <w:t xml:space="preserve"> and </w:t>
      </w:r>
      <w:proofErr w:type="spellStart"/>
      <w:r>
        <w:rPr>
          <w:i/>
          <w:iCs/>
          <w:color w:val="4A4A6A"/>
        </w:rPr>
        <w:t>Development</w:t>
      </w:r>
      <w:proofErr w:type="spellEnd"/>
      <w:r>
        <w:rPr>
          <w:i/>
          <w:iCs/>
          <w:color w:val="4A4A6A"/>
        </w:rPr>
        <w:t xml:space="preserve"> </w:t>
      </w:r>
      <w:proofErr w:type="spellStart"/>
      <w:r>
        <w:rPr>
          <w:i/>
          <w:iCs/>
          <w:color w:val="4A4A6A"/>
        </w:rPr>
        <w:t>Expenditure</w:t>
      </w:r>
      <w:proofErr w:type="spellEnd"/>
      <w:r>
        <w:rPr>
          <w:i/>
          <w:iCs/>
          <w:color w:val="4A4A6A"/>
        </w:rPr>
        <w:t xml:space="preserve"> (% </w:t>
      </w:r>
      <w:proofErr w:type="spellStart"/>
      <w:r>
        <w:rPr>
          <w:i/>
          <w:iCs/>
          <w:color w:val="4A4A6A"/>
        </w:rPr>
        <w:t>of</w:t>
      </w:r>
      <w:proofErr w:type="spellEnd"/>
      <w:r>
        <w:rPr>
          <w:i/>
          <w:iCs/>
          <w:color w:val="4A4A6A"/>
        </w:rPr>
        <w:t xml:space="preserve"> GDP). </w:t>
      </w:r>
      <w:proofErr w:type="spellStart"/>
      <w:r>
        <w:rPr>
          <w:i/>
          <w:iCs/>
          <w:color w:val="4A4A6A"/>
        </w:rPr>
        <w:t>World</w:t>
      </w:r>
      <w:proofErr w:type="spellEnd"/>
      <w:r>
        <w:rPr>
          <w:i/>
          <w:iCs/>
          <w:color w:val="4A4A6A"/>
        </w:rPr>
        <w:t xml:space="preserve"> Bank Data.</w:t>
      </w:r>
    </w:p>
    <w:p w14:paraId="2E23DCC6" w14:textId="77777777" w:rsidR="00200B5E" w:rsidRDefault="00200B5E">
      <w:pPr>
        <w:spacing w:after="120"/>
      </w:pPr>
    </w:p>
    <w:p w14:paraId="30D97032" w14:textId="77777777" w:rsidR="00200B5E" w:rsidRDefault="003D4EEC">
      <w:pPr>
        <w:pBdr>
          <w:top w:val="single" w:sz="4" w:space="8" w:color="E8D5F5"/>
        </w:pBdr>
        <w:spacing w:before="200" w:after="80"/>
        <w:jc w:val="center"/>
      </w:pPr>
      <w:r>
        <w:rPr>
          <w:b/>
          <w:bCs/>
          <w:color w:val="4A4A6A"/>
          <w:sz w:val="20"/>
          <w:szCs w:val="20"/>
        </w:rPr>
        <w:t>Nota de uso</w:t>
      </w:r>
    </w:p>
    <w:p w14:paraId="20B206F5" w14:textId="77777777" w:rsidR="00200B5E" w:rsidRDefault="003D4EEC">
      <w:pPr>
        <w:spacing w:after="80"/>
        <w:jc w:val="center"/>
      </w:pPr>
      <w:r>
        <w:rPr>
          <w:i/>
          <w:iCs/>
          <w:color w:val="4A4A6A"/>
          <w:sz w:val="18"/>
          <w:szCs w:val="18"/>
        </w:rPr>
        <w:t>Este artículo tiene fines exclusivamente informativos y académicos. No constituye asesoría legal en materia de propiedad intelectual.</w:t>
      </w:r>
    </w:p>
    <w:p w14:paraId="68C1A1D8" w14:textId="77777777" w:rsidR="00200B5E" w:rsidRDefault="003D4EEC">
      <w:pPr>
        <w:jc w:val="center"/>
      </w:pPr>
      <w:r>
        <w:rPr>
          <w:i/>
          <w:iCs/>
          <w:color w:val="4A4A6A"/>
          <w:sz w:val="18"/>
          <w:szCs w:val="18"/>
        </w:rPr>
        <w:lastRenderedPageBreak/>
        <w:t>Para tramitar una solicitud de patente, consulte siempre con un agente de patentes certificado o con las Oficinas de Transferencia Tecnológica de su institución.</w:t>
      </w:r>
    </w:p>
    <w:sectPr w:rsidR="00200B5E">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44A5E" w14:textId="77777777" w:rsidR="00CD2FD7" w:rsidRDefault="00CD2FD7">
      <w:r>
        <w:separator/>
      </w:r>
    </w:p>
  </w:endnote>
  <w:endnote w:type="continuationSeparator" w:id="0">
    <w:p w14:paraId="059A8460" w14:textId="77777777" w:rsidR="00CD2FD7" w:rsidRDefault="00CD2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9611C" w14:textId="77777777" w:rsidR="00200B5E" w:rsidRDefault="003D4EEC">
    <w:pPr>
      <w:pBdr>
        <w:top w:val="single" w:sz="6" w:space="1" w:color="7B2D8B"/>
      </w:pBdr>
      <w:spacing w:before="100"/>
      <w:jc w:val="center"/>
    </w:pPr>
    <w:r>
      <w:rPr>
        <w:color w:val="4A4A6A"/>
        <w:sz w:val="18"/>
        <w:szCs w:val="18"/>
      </w:rPr>
      <w:t xml:space="preserve">Página __  |  </w:t>
    </w:r>
    <w:r>
      <w:rPr>
        <w:i/>
        <w:iCs/>
        <w:color w:val="4A4A6A"/>
        <w:sz w:val="18"/>
        <w:szCs w:val="18"/>
      </w:rPr>
      <w:t xml:space="preserve">Artículo de divulgación — </w:t>
    </w:r>
    <w:proofErr w:type="spellStart"/>
    <w:r>
      <w:rPr>
        <w:i/>
        <w:iCs/>
        <w:color w:val="4A4A6A"/>
        <w:sz w:val="18"/>
        <w:szCs w:val="18"/>
      </w:rPr>
      <w:t>linkedin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CC9F9" w14:textId="77777777" w:rsidR="00CD2FD7" w:rsidRDefault="00CD2FD7">
      <w:r>
        <w:separator/>
      </w:r>
    </w:p>
  </w:footnote>
  <w:footnote w:type="continuationSeparator" w:id="0">
    <w:p w14:paraId="50361876" w14:textId="77777777" w:rsidR="00CD2FD7" w:rsidRDefault="00CD2F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2108" w14:textId="77777777" w:rsidR="00200B5E" w:rsidRDefault="003D4EEC">
    <w:pPr>
      <w:pBdr>
        <w:bottom w:val="single" w:sz="6" w:space="1" w:color="7B2D8B"/>
      </w:pBdr>
      <w:spacing w:after="100"/>
    </w:pPr>
    <w:proofErr w:type="spellStart"/>
    <w:r>
      <w:rPr>
        <w:color w:val="7B2D8B"/>
        <w:sz w:val="18"/>
        <w:szCs w:val="18"/>
      </w:rPr>
      <w:t>Patentame</w:t>
    </w:r>
    <w:proofErr w:type="spellEnd"/>
    <w:r>
      <w:rPr>
        <w:color w:val="7B2D8B"/>
        <w:sz w:val="18"/>
        <w:szCs w:val="18"/>
      </w:rPr>
      <w:t xml:space="preserve"> — gestión tecnológica asistida por </w:t>
    </w:r>
    <w:proofErr w:type="spellStart"/>
    <w:r>
      <w:rPr>
        <w:color w:val="7B2D8B"/>
        <w:sz w:val="18"/>
        <w:szCs w:val="18"/>
      </w:rPr>
      <w:t>ia</w:t>
    </w:r>
    <w:proofErr w:type="spellEnd"/>
    <w:r>
      <w:rPr>
        <w:sz w:val="18"/>
        <w:szCs w:val="18"/>
      </w:rPr>
      <w:tab/>
    </w:r>
    <w:r>
      <w:rPr>
        <w:color w:val="4A4A6A"/>
        <w:sz w:val="18"/>
        <w:szCs w:val="18"/>
      </w:rPr>
      <w:t>Lima, marzo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D0532E"/>
    <w:multiLevelType w:val="hybridMultilevel"/>
    <w:tmpl w:val="AF0850A2"/>
    <w:lvl w:ilvl="0" w:tplc="E7FAFE40">
      <w:start w:val="1"/>
      <w:numFmt w:val="bullet"/>
      <w:lvlText w:val="•"/>
      <w:lvlJc w:val="left"/>
      <w:pPr>
        <w:ind w:left="720" w:hanging="360"/>
      </w:pPr>
    </w:lvl>
    <w:lvl w:ilvl="1" w:tplc="68D8B134">
      <w:numFmt w:val="decimal"/>
      <w:lvlText w:val=""/>
      <w:lvlJc w:val="left"/>
    </w:lvl>
    <w:lvl w:ilvl="2" w:tplc="A5A2DBF6">
      <w:numFmt w:val="decimal"/>
      <w:lvlText w:val=""/>
      <w:lvlJc w:val="left"/>
    </w:lvl>
    <w:lvl w:ilvl="3" w:tplc="F2D696B6">
      <w:numFmt w:val="decimal"/>
      <w:lvlText w:val=""/>
      <w:lvlJc w:val="left"/>
    </w:lvl>
    <w:lvl w:ilvl="4" w:tplc="3FA4E45C">
      <w:numFmt w:val="decimal"/>
      <w:lvlText w:val=""/>
      <w:lvlJc w:val="left"/>
    </w:lvl>
    <w:lvl w:ilvl="5" w:tplc="5352DC26">
      <w:numFmt w:val="decimal"/>
      <w:lvlText w:val=""/>
      <w:lvlJc w:val="left"/>
    </w:lvl>
    <w:lvl w:ilvl="6" w:tplc="60924AA4">
      <w:numFmt w:val="decimal"/>
      <w:lvlText w:val=""/>
      <w:lvlJc w:val="left"/>
    </w:lvl>
    <w:lvl w:ilvl="7" w:tplc="D6ECD468">
      <w:numFmt w:val="decimal"/>
      <w:lvlText w:val=""/>
      <w:lvlJc w:val="left"/>
    </w:lvl>
    <w:lvl w:ilvl="8" w:tplc="3C8C3EDA">
      <w:numFmt w:val="decimal"/>
      <w:lvlText w:val=""/>
      <w:lvlJc w:val="left"/>
    </w:lvl>
  </w:abstractNum>
  <w:abstractNum w:abstractNumId="1" w15:restartNumberingAfterBreak="0">
    <w:nsid w:val="5A745D1F"/>
    <w:multiLevelType w:val="hybridMultilevel"/>
    <w:tmpl w:val="60063556"/>
    <w:lvl w:ilvl="0" w:tplc="B21457D6">
      <w:start w:val="1"/>
      <w:numFmt w:val="decimal"/>
      <w:lvlText w:val="%1."/>
      <w:lvlJc w:val="left"/>
      <w:pPr>
        <w:ind w:left="720" w:hanging="360"/>
      </w:pPr>
    </w:lvl>
    <w:lvl w:ilvl="1" w:tplc="2DAC8BCE">
      <w:numFmt w:val="decimal"/>
      <w:lvlText w:val=""/>
      <w:lvlJc w:val="left"/>
    </w:lvl>
    <w:lvl w:ilvl="2" w:tplc="BEE4E2BE">
      <w:numFmt w:val="decimal"/>
      <w:lvlText w:val=""/>
      <w:lvlJc w:val="left"/>
    </w:lvl>
    <w:lvl w:ilvl="3" w:tplc="539E5AF0">
      <w:numFmt w:val="decimal"/>
      <w:lvlText w:val=""/>
      <w:lvlJc w:val="left"/>
    </w:lvl>
    <w:lvl w:ilvl="4" w:tplc="45AC6A8E">
      <w:numFmt w:val="decimal"/>
      <w:lvlText w:val=""/>
      <w:lvlJc w:val="left"/>
    </w:lvl>
    <w:lvl w:ilvl="5" w:tplc="37866D18">
      <w:numFmt w:val="decimal"/>
      <w:lvlText w:val=""/>
      <w:lvlJc w:val="left"/>
    </w:lvl>
    <w:lvl w:ilvl="6" w:tplc="C12EB5F2">
      <w:numFmt w:val="decimal"/>
      <w:lvlText w:val=""/>
      <w:lvlJc w:val="left"/>
    </w:lvl>
    <w:lvl w:ilvl="7" w:tplc="71F09508">
      <w:numFmt w:val="decimal"/>
      <w:lvlText w:val=""/>
      <w:lvlJc w:val="left"/>
    </w:lvl>
    <w:lvl w:ilvl="8" w:tplc="F93296A8">
      <w:numFmt w:val="decimal"/>
      <w:lvlText w:val=""/>
      <w:lvlJc w:val="left"/>
    </w:lvl>
  </w:abstractNum>
  <w:abstractNum w:abstractNumId="2" w15:restartNumberingAfterBreak="0">
    <w:nsid w:val="78DF5B2C"/>
    <w:multiLevelType w:val="hybridMultilevel"/>
    <w:tmpl w:val="F0A22F62"/>
    <w:lvl w:ilvl="0" w:tplc="32125BFC">
      <w:start w:val="1"/>
      <w:numFmt w:val="bullet"/>
      <w:lvlText w:val="●"/>
      <w:lvlJc w:val="left"/>
      <w:pPr>
        <w:ind w:left="720" w:hanging="360"/>
      </w:pPr>
    </w:lvl>
    <w:lvl w:ilvl="1" w:tplc="53C64E5E">
      <w:start w:val="1"/>
      <w:numFmt w:val="bullet"/>
      <w:lvlText w:val="○"/>
      <w:lvlJc w:val="left"/>
      <w:pPr>
        <w:ind w:left="1440" w:hanging="360"/>
      </w:pPr>
    </w:lvl>
    <w:lvl w:ilvl="2" w:tplc="D2BC2DF2">
      <w:start w:val="1"/>
      <w:numFmt w:val="bullet"/>
      <w:lvlText w:val="■"/>
      <w:lvlJc w:val="left"/>
      <w:pPr>
        <w:ind w:left="2160" w:hanging="360"/>
      </w:pPr>
    </w:lvl>
    <w:lvl w:ilvl="3" w:tplc="068C687E">
      <w:start w:val="1"/>
      <w:numFmt w:val="bullet"/>
      <w:lvlText w:val="●"/>
      <w:lvlJc w:val="left"/>
      <w:pPr>
        <w:ind w:left="2880" w:hanging="360"/>
      </w:pPr>
    </w:lvl>
    <w:lvl w:ilvl="4" w:tplc="2B4ED808">
      <w:start w:val="1"/>
      <w:numFmt w:val="bullet"/>
      <w:lvlText w:val="○"/>
      <w:lvlJc w:val="left"/>
      <w:pPr>
        <w:ind w:left="3600" w:hanging="360"/>
      </w:pPr>
    </w:lvl>
    <w:lvl w:ilvl="5" w:tplc="4956B4DA">
      <w:start w:val="1"/>
      <w:numFmt w:val="bullet"/>
      <w:lvlText w:val="■"/>
      <w:lvlJc w:val="left"/>
      <w:pPr>
        <w:ind w:left="4320" w:hanging="360"/>
      </w:pPr>
    </w:lvl>
    <w:lvl w:ilvl="6" w:tplc="9514B462">
      <w:start w:val="1"/>
      <w:numFmt w:val="bullet"/>
      <w:lvlText w:val="●"/>
      <w:lvlJc w:val="left"/>
      <w:pPr>
        <w:ind w:left="5040" w:hanging="360"/>
      </w:pPr>
    </w:lvl>
    <w:lvl w:ilvl="7" w:tplc="AA4253FE">
      <w:start w:val="1"/>
      <w:numFmt w:val="bullet"/>
      <w:lvlText w:val="●"/>
      <w:lvlJc w:val="left"/>
      <w:pPr>
        <w:ind w:left="5760" w:hanging="360"/>
      </w:pPr>
    </w:lvl>
    <w:lvl w:ilvl="8" w:tplc="A42841B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B5E"/>
    <w:rsid w:val="00200B5E"/>
    <w:rsid w:val="003320A3"/>
    <w:rsid w:val="003D4EEC"/>
    <w:rsid w:val="00531506"/>
    <w:rsid w:val="00CC5C7A"/>
    <w:rsid w:val="00CD2FD7"/>
    <w:rsid w:val="00E874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95AD"/>
  <w15:docId w15:val="{742CC459-5AB6-402A-AF76-CE0318A7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40" w:after="160"/>
      <w:outlineLvl w:val="0"/>
    </w:pPr>
    <w:rPr>
      <w:b/>
      <w:bCs/>
      <w:color w:val="4B1A6B"/>
      <w:sz w:val="30"/>
      <w:szCs w:val="30"/>
    </w:rPr>
  </w:style>
  <w:style w:type="paragraph" w:styleId="Ttulo2">
    <w:name w:val="heading 2"/>
    <w:uiPriority w:val="9"/>
    <w:unhideWhenUsed/>
    <w:qFormat/>
    <w:pPr>
      <w:spacing w:before="260" w:after="120"/>
      <w:outlineLvl w:val="1"/>
    </w:pPr>
    <w:rPr>
      <w:b/>
      <w:bCs/>
      <w:color w:val="7B2D8B"/>
      <w:sz w:val="26"/>
      <w:szCs w:val="26"/>
    </w:rPr>
  </w:style>
  <w:style w:type="paragraph" w:styleId="Ttulo3">
    <w:name w:val="heading 3"/>
    <w:uiPriority w:val="9"/>
    <w:semiHidden/>
    <w:unhideWhenUsed/>
    <w:qFormat/>
    <w:pPr>
      <w:spacing w:before="200" w:after="100"/>
      <w:outlineLvl w:val="2"/>
    </w:pPr>
    <w:rPr>
      <w:b/>
      <w:bCs/>
      <w:color w:val="C0550B"/>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1</Pages>
  <Words>2656</Words>
  <Characters>14611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WILLIAM CHAUPIS MEZA</cp:lastModifiedBy>
  <cp:revision>4</cp:revision>
  <dcterms:created xsi:type="dcterms:W3CDTF">2026-03-20T18:21:00Z</dcterms:created>
  <dcterms:modified xsi:type="dcterms:W3CDTF">2026-03-22T22:54:00Z</dcterms:modified>
</cp:coreProperties>
</file>