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5A6477"/>
          <w:spacing w:val="60"/>
          <w:sz w:val="22"/>
          <w:szCs w:val="22"/>
        </w:rPr>
        <w:t xml:space="preserve">GRUPO BIOGENIA</w:t>
      </w:r>
    </w:p>
    <w:p>
      <w:pPr>
        <w:pBdr>
          <w:bottom w:val="single" w:color="B08D44" w:sz="12" w:space="12"/>
        </w:pBdr>
        <w:spacing w:before="200"/>
        <w:jc w:val="center"/>
      </w:pPr>
      <w:r>
        <w:rPr>
          <w:b/>
          <w:bCs/>
          <w:color w:val="1A1F2E"/>
          <w:sz w:val="88"/>
          <w:szCs w:val="88"/>
        </w:rPr>
        <w:t xml:space="preserve">KhipuNet</w:t>
      </w:r>
    </w:p>
    <w:p>
      <w:pPr>
        <w:spacing w:before="280"/>
        <w:jc w:val="center"/>
      </w:pPr>
      <w:r>
        <w:rPr>
          <w:i/>
          <w:iCs/>
          <w:color w:val="2B2F38"/>
          <w:sz w:val="30"/>
          <w:szCs w:val="30"/>
        </w:rPr>
        <w:t xml:space="preserve">Plataforma nacional de transferencia tecnológica</w:t>
      </w:r>
    </w:p>
    <w:p>
      <w:pPr>
        <w:spacing w:before="60"/>
        <w:jc w:val="center"/>
      </w:pPr>
      <w:r>
        <w:rPr>
          <w:i/>
          <w:iCs/>
          <w:color w:val="2B2F38"/>
          <w:sz w:val="30"/>
          <w:szCs w:val="30"/>
        </w:rPr>
        <w:t xml:space="preserve">para el ecosistema de innovación del Perú</w:t>
      </w:r>
    </w:p>
    <w:p>
      <w:pPr>
        <w:spacing w:before="700"/>
        <w:jc w:val="center"/>
      </w:pPr>
      <w:r>
        <w:rPr>
          <w:color w:val="5A6477"/>
          <w:sz w:val="23"/>
          <w:szCs w:val="23"/>
        </w:rPr>
        <w:t xml:space="preserve">Informe ejecutivo para potenciales colaboradores y aliados estratégicos</w:t>
      </w:r>
    </w:p>
    <w:p>
      <w:pPr>
        <w:spacing w:before="80"/>
        <w:jc w:val="center"/>
      </w:pPr>
      <w:r>
        <w:rPr>
          <w:color w:val="5A6477"/>
          <w:sz w:val="21"/>
          <w:szCs w:val="21"/>
        </w:rPr>
        <w:t xml:space="preserve">Proyecto de código abierto · Versión 0.1.0 (Base IVAI 2025)</w:t>
      </w:r>
    </w:p>
    <w:p>
      <w:pPr>
        <w:spacing w:before="2400"/>
        <w:jc w:val="center"/>
      </w:pPr>
      <w:r>
        <w:rPr>
          <w:color w:val="5A6477"/>
          <w:sz w:val="21"/>
          <w:szCs w:val="21"/>
        </w:rPr>
        <w:t xml:space="preserve">Lima, junio de 2026</w:t>
      </w:r>
    </w:p>
    <w:p>
      <w:pPr>
        <w:spacing w:before="60"/>
        <w:jc w:val="center"/>
      </w:pPr>
      <w:hyperlink w:history="1" r:id="rIdwi6kl9nzoi2imajphup6q">
        <w:r>
          <w:rPr>
            <w:rStyle w:val="Hyperlink"/>
            <w:sz w:val="21"/>
            <w:szCs w:val="21"/>
          </w:rPr>
          <w:t xml:space="preserve">khipunet.vercel.app</w:t>
        </w:r>
      </w:hyperlink>
      <w:r>
        <w:rPr>
          <w:color w:val="5A6477"/>
          <w:sz w:val="21"/>
          <w:szCs w:val="21"/>
        </w:rPr>
        <w:t xml:space="preserve">   ·   conecta@biogeniainnova.com   ·   +51 925 836 543</w:t>
      </w:r>
    </w:p>
    <w:p>
      <w:pPr>
        <w:sectPr>
          <w:pgSz w:w="12240" w:h="15840" w:orient="portrait"/>
          <w:pgMar w:top="1440" w:right="1440" w:bottom="1440" w:left="1440" w:header="708" w:footer="708" w:gutter="0"/>
          <w:pgNumType/>
          <w:docGrid w:linePitch="360"/>
        </w:sectPr>
      </w:pPr>
    </w:p>
    <w:p>
      <w:pPr>
        <w:pStyle w:val="Heading1"/>
        <w:pBdr>
          <w:bottom w:val="single" w:color="B08D44" w:sz="8" w:space="4"/>
        </w:pBdr>
        <w:spacing w:after="200" w:before="360"/>
      </w:pPr>
      <w:r>
        <w:rPr>
          <w:b/>
          <w:bCs/>
          <w:color w:val="1A1F2E"/>
          <w:sz w:val="30"/>
          <w:szCs w:val="30"/>
        </w:rPr>
        <w:t xml:space="preserve">1. Resumen ejecutivo</w:t>
      </w:r>
    </w:p>
    <w:p>
      <w:pPr>
        <w:spacing w:after="160" w:line="300"/>
        <w:jc w:val="both"/>
      </w:pPr>
      <w:r>
        <w:rPr>
          <w:color w:val="2B2F38"/>
          <w:sz w:val="22"/>
          <w:szCs w:val="22"/>
        </w:rPr>
        <w:t xml:space="preserve">KhipuNet es una plataforma digital de código abierto que mapea, conecta y mide las capacidades del ecosistema de innovación peruano. Inspirada en los quipus incaicos —los sistemas de registro de información mediante cuerdas y nudos—, la plataforma representa a cada institución como un nodo interconectado dentro de una red topológica nacional, haciendo visible aquello que hoy permanece fragmentado: la oferta tecnológica del país.</w:t>
      </w:r>
    </w:p>
    <w:p>
      <w:pPr>
        <w:spacing w:after="160" w:line="300"/>
        <w:jc w:val="both"/>
      </w:pPr>
      <w:r>
        <w:rPr>
          <w:color w:val="2B2F38"/>
          <w:sz w:val="22"/>
          <w:szCs w:val="22"/>
        </w:rPr>
        <w:t xml:space="preserve">El proyecto, impulsado por Grupo Biogenia, está diseñado para alinear los esfuerzos de universidades, CITE, startups y entidades públicas bajo el marco metodológico de las Iniciativas de Vinculación Academia-Industria (IVAI 2025) del CONCYTEC. Su naturaleza abierta permite que cualquier actor del ecosistema —desarrolladores, analistas de datos, investigadores e instituciones— contribuya a su crecimiento, auditabilidad y sostenibilidad.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Proyecto</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KhipuNet — Red nacional de transferencia tecnológica</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Naturaleza</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Plataforma web de código abierto (open source)</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Marco metodológico</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IVAI 2025 — CONCYTEC</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Estado actual</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Versión 0.1.0 operativa en producción</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Acceso</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https://khipunet.vercel.app/</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Promotor</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Grupo Biogenia</w:t>
            </w:r>
          </w:p>
        </w:tc>
      </w:tr>
    </w:tbl>
    <w:p>
      <w:pPr>
        <w:pStyle w:val="Heading1"/>
        <w:pBdr>
          <w:bottom w:val="single" w:color="B08D44" w:sz="8" w:space="4"/>
        </w:pBdr>
        <w:spacing w:after="200" w:before="360"/>
      </w:pPr>
      <w:r>
        <w:rPr>
          <w:b/>
          <w:bCs/>
          <w:color w:val="1A1F2E"/>
          <w:sz w:val="30"/>
          <w:szCs w:val="30"/>
        </w:rPr>
        <w:t xml:space="preserve">2. El problema que resuelve</w:t>
      </w:r>
    </w:p>
    <w:p>
      <w:pPr>
        <w:spacing w:after="160" w:line="300"/>
        <w:jc w:val="both"/>
      </w:pPr>
      <w:r>
        <w:rPr>
          <w:color w:val="2B2F38"/>
          <w:sz w:val="22"/>
          <w:szCs w:val="22"/>
        </w:rPr>
        <w:t xml:space="preserve">El ecosistema de innovación peruano cuenta con capacidades reales —centros de investigación, CITE sectoriales, universidades con grupos activos y un tejido emergente de startups—, pero estas capacidades operan de forma dispersa y con baja visibilidad mutua. La ausencia de un mapa unificado dificulta la articulación entre la academia y la industria, genera duplicidad de esfuerzos y vuelve invisible la oferta tecnológica nacional ante potenciales demandantes.</w:t>
      </w:r>
    </w:p>
    <w:p>
      <w:pPr>
        <w:spacing w:after="160" w:line="300"/>
        <w:jc w:val="both"/>
      </w:pPr>
      <w:r>
        <w:rPr>
          <w:color w:val="2B2F38"/>
          <w:sz w:val="22"/>
          <w:szCs w:val="22"/>
        </w:rPr>
        <w:t xml:space="preserve">KhipuNet aborda esta brecha con una herramienta concreta: una cartografía interactiva y una analítica de red que permiten identificar quién hace qué, dónde y con qué capacidades, revelando además los cuellos de botella de la oferta tecnológica por cadena productiva.</w:t>
      </w:r>
    </w:p>
    <w:p>
      <w:pPr>
        <w:pStyle w:val="Heading1"/>
        <w:pBdr>
          <w:bottom w:val="single" w:color="B08D44" w:sz="8" w:space="4"/>
        </w:pBdr>
        <w:spacing w:after="200" w:before="360"/>
      </w:pPr>
      <w:r>
        <w:rPr>
          <w:b/>
          <w:bCs/>
          <w:color w:val="1A1F2E"/>
          <w:sz w:val="30"/>
          <w:szCs w:val="30"/>
        </w:rPr>
        <w:t xml:space="preserve">3. Qué ofrece la plataforma</w:t>
      </w:r>
    </w:p>
    <w:p>
      <w:pPr>
        <w:pStyle w:val="Heading2"/>
        <w:spacing w:after="140" w:before="240"/>
      </w:pPr>
      <w:r>
        <w:rPr>
          <w:b/>
          <w:bCs/>
          <w:color w:val="B08D44"/>
          <w:sz w:val="24"/>
          <w:szCs w:val="24"/>
        </w:rPr>
        <w:t xml:space="preserve">3.1 Cartografía multimotor</w:t>
      </w:r>
    </w:p>
    <w:p>
      <w:pPr>
        <w:spacing w:after="160" w:line="300"/>
        <w:jc w:val="both"/>
      </w:pPr>
      <w:r>
        <w:rPr>
          <w:color w:val="2B2F38"/>
          <w:sz w:val="22"/>
          <w:szCs w:val="22"/>
        </w:rPr>
        <w:t xml:space="preserve">Visualización geográfica de los actores del ecosistema sobre mapas físicos y satelitales (Leaflet/OpenStreetMap), con alternancia de vistas sin recargas, clusterización inteligente de nodos cercanos y herramientas de geodesia interactiva para medir distancias exactas entre centros tecnológicos.</w:t>
      </w:r>
    </w:p>
    <w:p>
      <w:pPr>
        <w:pStyle w:val="Heading2"/>
        <w:spacing w:after="140" w:before="240"/>
      </w:pPr>
      <w:r>
        <w:rPr>
          <w:b/>
          <w:bCs/>
          <w:color w:val="B08D44"/>
          <w:sz w:val="24"/>
          <w:szCs w:val="24"/>
        </w:rPr>
        <w:t xml:space="preserve">3.2 Simulación topológica de la red</w:t>
      </w:r>
    </w:p>
    <w:p>
      <w:pPr>
        <w:spacing w:after="160" w:line="300"/>
        <w:jc w:val="both"/>
      </w:pPr>
      <w:r>
        <w:rPr>
          <w:color w:val="2B2F38"/>
          <w:sz w:val="22"/>
          <w:szCs w:val="22"/>
        </w:rPr>
        <w:t xml:space="preserve">Una vista alternativa que prescinde de la geografía para concentrarse en las relaciones ecosistémicas. Mediante un motor de fuerzas basado en D3.js, los nodos se atraen o repelen en tiempo real, organizando clústeres por tipo de industria o institución y revelando la estructura real de la red de innovación.</w:t>
      </w:r>
    </w:p>
    <w:p>
      <w:pPr>
        <w:pStyle w:val="Heading2"/>
        <w:spacing w:after="140" w:before="240"/>
      </w:pPr>
      <w:r>
        <w:rPr>
          <w:b/>
          <w:bCs/>
          <w:color w:val="B08D44"/>
          <w:sz w:val="24"/>
          <w:szCs w:val="24"/>
        </w:rPr>
        <w:t xml:space="preserve">3.3 Analítica y minería de datos</w:t>
      </w:r>
    </w:p>
    <w:p>
      <w:pPr>
        <w:spacing w:after="160" w:line="300"/>
        <w:jc w:val="both"/>
      </w:pPr>
      <w:r>
        <w:rPr>
          <w:color w:val="2B2F38"/>
          <w:sz w:val="22"/>
          <w:szCs w:val="22"/>
        </w:rPr>
        <w:t xml:space="preserve">Más allá del conteo de actores, la plataforma integra estadística descriptiva con distribuciones de frecuencias en datos agrupados, orientada a descubrir vacíos y cuellos de botella en la oferta tecnológica nacional. Esta capa analítica convierte el mapa en un instrumento de diagnóstico para la toma de decisiones.</w:t>
      </w:r>
    </w:p>
    <w:p>
      <w:pPr>
        <w:pStyle w:val="Heading2"/>
        <w:spacing w:after="140" w:before="240"/>
      </w:pPr>
      <w:r>
        <w:rPr>
          <w:b/>
          <w:bCs/>
          <w:color w:val="B08D44"/>
          <w:sz w:val="24"/>
          <w:szCs w:val="24"/>
        </w:rPr>
        <w:t xml:space="preserve">3.4 Gobernanza y curaduría de datos</w:t>
      </w:r>
    </w:p>
    <w:p>
      <w:pPr>
        <w:spacing w:after="160" w:line="300"/>
        <w:jc w:val="both"/>
      </w:pPr>
      <w:r>
        <w:rPr>
          <w:color w:val="2B2F38"/>
          <w:sz w:val="22"/>
          <w:szCs w:val="22"/>
        </w:rPr>
        <w:t xml:space="preserve">El ingreso de nuevos actores sigue un flujo de solicitud y aprobación: los registros se almacenan en una sala de espera y un comité evaluador, desde un portal administrativo protegido criptográficamente, aprueba o rechaza cada nodo antes de su publicación. Este modelo garantiza la calidad y confiabilidad de la información que llega al mapa nacional.</w:t>
      </w:r>
    </w:p>
    <w:p>
      <w:pPr>
        <w:pStyle w:val="Heading2"/>
        <w:spacing w:after="140" w:before="240"/>
      </w:pPr>
      <w:r>
        <w:rPr>
          <w:b/>
          <w:bCs/>
          <w:color w:val="B08D44"/>
          <w:sz w:val="24"/>
          <w:szCs w:val="24"/>
        </w:rPr>
        <w:t xml:space="preserve">3.5 Taxonomía alineada al Estado</w:t>
      </w:r>
    </w:p>
    <w:p>
      <w:pPr>
        <w:spacing w:after="160" w:line="300"/>
        <w:jc w:val="both"/>
      </w:pPr>
      <w:r>
        <w:rPr>
          <w:color w:val="2B2F38"/>
          <w:sz w:val="22"/>
          <w:szCs w:val="22"/>
        </w:rPr>
        <w:t xml:space="preserve">La base de datos está categorizada rigurosamente según las líneas estratégicas de inversión e innovación del Perú —agroindustria, acuicultura, forestal, textil, minería, entre otras—, lo que asegura la compatibilidad del sistema con los instrumentos de política pública vigentes.</w:t>
      </w:r>
    </w:p>
    <w:p>
      <w:pPr>
        <w:pStyle w:val="Heading1"/>
        <w:pBdr>
          <w:bottom w:val="single" w:color="B08D44" w:sz="8" w:space="4"/>
        </w:pBdr>
        <w:spacing w:after="200" w:before="360"/>
      </w:pPr>
      <w:r>
        <w:rPr>
          <w:b/>
          <w:bCs/>
          <w:color w:val="1A1F2E"/>
          <w:sz w:val="30"/>
          <w:szCs w:val="30"/>
        </w:rPr>
        <w:t xml:space="preserve">4. Arquitectura y solidez técnica</w:t>
      </w:r>
    </w:p>
    <w:p>
      <w:pPr>
        <w:spacing w:after="160" w:line="300"/>
        <w:jc w:val="both"/>
      </w:pPr>
      <w:r>
        <w:rPr>
          <w:color w:val="2B2F38"/>
          <w:sz w:val="22"/>
          <w:szCs w:val="22"/>
        </w:rPr>
        <w:t xml:space="preserve">KhipuNet ha sido desarrollada bajo un paradigma moderno de aplicación de página única (SPA) con servidor sin estado (serverless), priorizando rendimiento, mantenibilidad y bajo costo operativo. Su arquitectura híbrida de datos combina una capa base estática con una capa dinámica en tiempo real desde la nube, logrando tiempos de carga inferiores a 100 milisegundos.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Frontend</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React 18 con Vite (compilación y recarga ultrarrápida)</w:t>
            </w:r>
          </w:p>
        </w:tc>
      </w:tr>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Estilo</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CSS de alto rendimiento con animaciones por GPU; bundle inferior a 1 MB</w:t>
            </w:r>
          </w:p>
        </w:tc>
      </w:tr>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Geovisualización</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Leaflet y react-leaflet</w:t>
            </w:r>
          </w:p>
        </w:tc>
      </w:tr>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Visualización de redes</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D3.js (física de grafos) en componentes funcionales de React</w:t>
            </w:r>
          </w:p>
        </w:tc>
      </w:tr>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Backend y datos</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Supabase (PostgreSQL) con API REST, autenticación y Row Level Security</w:t>
            </w:r>
          </w:p>
        </w:tc>
      </w:tr>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Despliegue</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Vercel — CDN global de borde con baja latencia</w:t>
            </w:r>
          </w:p>
        </w:tc>
      </w:tr>
    </w:tbl>
    <w:p>
      <w:pPr>
        <w:spacing w:after="60"/>
        <w:jc w:val="both"/>
      </w:pPr>
      <w:r>
        <w:rPr>
          <w:color w:val="2B2F38"/>
          <w:sz w:val="22"/>
          <w:szCs w:val="22"/>
        </w:rPr>
        <w:t xml:space="preserve"/>
      </w:r>
    </w:p>
    <w:p>
      <w:pPr>
        <w:spacing w:after="160" w:line="300"/>
        <w:jc w:val="both"/>
      </w:pPr>
      <w:r>
        <w:rPr>
          <w:color w:val="2B2F38"/>
          <w:sz w:val="22"/>
          <w:szCs w:val="22"/>
        </w:rPr>
        <w:t xml:space="preserve">La interfaz adopta un diseño glassmorphism con microinteracciones: colores oscuros, desenfoques de fondo y animaciones fluidas que ofrecen una experiencia de usuario de nivel premium, sin sacrificar la ligereza del paquete entregado.</w:t>
      </w:r>
    </w:p>
    <w:p>
      <w:pPr>
        <w:pStyle w:val="Heading1"/>
        <w:pBdr>
          <w:bottom w:val="single" w:color="B08D44" w:sz="8" w:space="4"/>
        </w:pBdr>
        <w:spacing w:after="200" w:before="360"/>
      </w:pPr>
      <w:r>
        <w:rPr>
          <w:b/>
          <w:bCs/>
          <w:color w:val="1A1F2E"/>
          <w:sz w:val="30"/>
          <w:szCs w:val="30"/>
        </w:rPr>
        <w:t xml:space="preserve">5. Un proyecto abierto: por qué colaborar</w:t>
      </w:r>
    </w:p>
    <w:p>
      <w:pPr>
        <w:spacing w:after="160" w:line="300"/>
        <w:jc w:val="both"/>
      </w:pPr>
      <w:r>
        <w:rPr>
          <w:color w:val="2B2F38"/>
          <w:sz w:val="22"/>
          <w:szCs w:val="22"/>
        </w:rPr>
        <w:t xml:space="preserve">La condición de código abierto no es un atributo accesorio de KhipuNet: es su tesis central. Una infraestructura de información pública sobre el ecosistema de innovación debe ser auditable, extensible y apropiable por la comunidad que la utiliza. El repositorio del proyecto está disponible públicamente en GitHub (scientificbroker/khipunet) y el flujo de contribución sigue las prácticas estándar de la industria.</w:t>
      </w:r>
    </w:p>
    <w:p>
      <w:pPr>
        <w:pStyle w:val="ListParagraph"/>
        <w:numPr>
          <w:ilvl w:val="0"/>
          <w:numId w:val="2"/>
        </w:numPr>
        <w:spacing w:after="100" w:line="300"/>
      </w:pPr>
      <w:r>
        <w:rPr>
          <w:b/>
          <w:bCs/>
          <w:color w:val="1A1F2E"/>
          <w:sz w:val="22"/>
          <w:szCs w:val="22"/>
        </w:rPr>
        <w:t xml:space="preserve">Transparencia total. </w:t>
      </w:r>
      <w:r>
        <w:rPr>
          <w:color w:val="2B2F38"/>
          <w:sz w:val="22"/>
          <w:szCs w:val="22"/>
        </w:rPr>
        <w:t xml:space="preserve">Acceso completo al código fuente, con entorno de desarrollo reproducible en minutos (clonación, instalación de dependencias y ejecución local con npm).</w:t>
      </w:r>
    </w:p>
    <w:p>
      <w:pPr>
        <w:pStyle w:val="ListParagraph"/>
        <w:numPr>
          <w:ilvl w:val="0"/>
          <w:numId w:val="2"/>
        </w:numPr>
        <w:spacing w:after="100" w:line="300"/>
      </w:pPr>
      <w:r>
        <w:rPr>
          <w:b/>
          <w:bCs/>
          <w:color w:val="1A1F2E"/>
          <w:sz w:val="22"/>
          <w:szCs w:val="22"/>
        </w:rPr>
        <w:t xml:space="preserve">Calidad por diseño. </w:t>
      </w:r>
      <w:r>
        <w:rPr>
          <w:color w:val="2B2F38"/>
          <w:sz w:val="22"/>
          <w:szCs w:val="22"/>
        </w:rPr>
        <w:t xml:space="preserve">Las reglas de aporte priorizan el rendimiento y desalientan dependencias innecesarias, lo que mantiene la plataforma ligera y sostenible en el tiempo.</w:t>
      </w:r>
    </w:p>
    <w:p>
      <w:pPr>
        <w:pStyle w:val="ListParagraph"/>
        <w:numPr>
          <w:ilvl w:val="0"/>
          <w:numId w:val="2"/>
        </w:numPr>
        <w:spacing w:after="100" w:line="300"/>
      </w:pPr>
      <w:r>
        <w:rPr>
          <w:b/>
          <w:bCs/>
          <w:color w:val="1A1F2E"/>
          <w:sz w:val="22"/>
          <w:szCs w:val="22"/>
        </w:rPr>
        <w:t xml:space="preserve">Múltiples vías de aporte. </w:t>
      </w:r>
      <w:r>
        <w:rPr>
          <w:color w:val="2B2F38"/>
          <w:sz w:val="22"/>
          <w:szCs w:val="22"/>
        </w:rPr>
        <w:t xml:space="preserve">Se aceptan contribuciones de código, reportes de errores cartográficos y propuestas de nuevas herramientas analíticas a través del sistema de issues y pull requests.</w:t>
      </w:r>
    </w:p>
    <w:p>
      <w:pPr>
        <w:pStyle w:val="ListParagraph"/>
        <w:numPr>
          <w:ilvl w:val="0"/>
          <w:numId w:val="2"/>
        </w:numPr>
        <w:spacing w:after="100" w:line="300"/>
      </w:pPr>
      <w:r>
        <w:rPr>
          <w:b/>
          <w:bCs/>
          <w:color w:val="1A1F2E"/>
          <w:sz w:val="22"/>
          <w:szCs w:val="22"/>
        </w:rPr>
        <w:t xml:space="preserve">Entorno de pruebas. </w:t>
      </w:r>
      <w:r>
        <w:rPr>
          <w:color w:val="2B2F38"/>
          <w:sz w:val="22"/>
          <w:szCs w:val="22"/>
        </w:rPr>
        <w:t xml:space="preserve">Los colaboradores pueden solicitar acceso a un entorno de prueba de Supabase o configurar el propio a partir de la plantilla de variables de entorno incluida.</w:t>
      </w:r>
    </w:p>
    <w:p>
      <w:pPr>
        <w:pStyle w:val="Heading2"/>
        <w:spacing w:after="140" w:before="240"/>
      </w:pPr>
      <w:r>
        <w:rPr>
          <w:b/>
          <w:bCs/>
          <w:color w:val="B08D44"/>
          <w:sz w:val="24"/>
          <w:szCs w:val="24"/>
        </w:rPr>
        <w:t xml:space="preserve">Perfiles que buscamos</w:t>
      </w:r>
    </w:p>
    <w:p>
      <w:pPr>
        <w:pStyle w:val="ListParagraph"/>
        <w:numPr>
          <w:ilvl w:val="0"/>
          <w:numId w:val="2"/>
        </w:numPr>
        <w:spacing w:after="100" w:line="300"/>
      </w:pPr>
      <w:r>
        <w:rPr>
          <w:color w:val="2B2F38"/>
          <w:sz w:val="22"/>
          <w:szCs w:val="22"/>
        </w:rPr>
        <w:t xml:space="preserve">Desarrolladores frontend y full stack con experiencia en React, D3.js o ecosistemas serverless.</w:t>
      </w:r>
    </w:p>
    <w:p>
      <w:pPr>
        <w:pStyle w:val="ListParagraph"/>
        <w:numPr>
          <w:ilvl w:val="0"/>
          <w:numId w:val="2"/>
        </w:numPr>
        <w:spacing w:after="100" w:line="300"/>
      </w:pPr>
      <w:r>
        <w:rPr>
          <w:color w:val="2B2F38"/>
          <w:sz w:val="22"/>
          <w:szCs w:val="22"/>
        </w:rPr>
        <w:t xml:space="preserve">Analistas y científicos de datos interesados en analítica de redes y estadística aplicada a políticas de innovación.</w:t>
      </w:r>
    </w:p>
    <w:p>
      <w:pPr>
        <w:pStyle w:val="ListParagraph"/>
        <w:numPr>
          <w:ilvl w:val="0"/>
          <w:numId w:val="2"/>
        </w:numPr>
        <w:spacing w:after="100" w:line="300"/>
      </w:pPr>
      <w:r>
        <w:rPr>
          <w:color w:val="2B2F38"/>
          <w:sz w:val="22"/>
          <w:szCs w:val="22"/>
        </w:rPr>
        <w:t xml:space="preserve">Investigadores y gestores de CTI que aporten validación de datos, taxonomías sectoriales y casos de uso institucionales.</w:t>
      </w:r>
    </w:p>
    <w:p>
      <w:pPr>
        <w:pStyle w:val="ListParagraph"/>
        <w:numPr>
          <w:ilvl w:val="0"/>
          <w:numId w:val="2"/>
        </w:numPr>
        <w:spacing w:after="100" w:line="300"/>
      </w:pPr>
      <w:r>
        <w:rPr>
          <w:color w:val="2B2F38"/>
          <w:sz w:val="22"/>
          <w:szCs w:val="22"/>
        </w:rPr>
        <w:t xml:space="preserve">Instituciones (universidades, CITE, startups, entidades públicas) que deseen registrarse como nodos de la red y enriquecer el mapa nacional.</w:t>
      </w:r>
    </w:p>
    <w:p>
      <w:pPr>
        <w:pStyle w:val="Heading1"/>
        <w:pBdr>
          <w:bottom w:val="single" w:color="B08D44" w:sz="8" w:space="4"/>
        </w:pBdr>
        <w:spacing w:after="200" w:before="360"/>
      </w:pPr>
      <w:r>
        <w:rPr>
          <w:b/>
          <w:bCs/>
          <w:color w:val="1A1F2E"/>
          <w:sz w:val="30"/>
          <w:szCs w:val="30"/>
        </w:rPr>
        <w:t xml:space="preserve">6. Modelo de uso por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Ciudadano / funcionario</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Explora el mapa con filtros por sector e institución, consulta resúmenes instantáneos al pasar el cursor y accede a datos de contacto y servicios de cada nodo.</w:t>
            </w:r>
          </w:p>
        </w:tc>
      </w:tr>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Instituciones</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Se registran desde la sección «Súmate a la Red de Innovación», seleccionando su rol y cadena productiva IVAI, y reciben confirmación tras la aprobación.</w:t>
            </w:r>
          </w:p>
        </w:tc>
      </w:tr>
      <w:tr>
        <w:tc>
          <w:tcPr>
            <w:tcW w:type="dxa" w:w="30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Curador de la red</w:t>
            </w:r>
          </w:p>
        </w:tc>
        <w:tc>
          <w:tcPr>
            <w:tcW w:type="dxa" w:w="63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Gestiona las solicitudes pendientes desde el panel administrativo seguro; la base de datos y el mapa se actualizan automáticamente con cada decisión.</w:t>
            </w:r>
          </w:p>
        </w:tc>
      </w:tr>
    </w:tbl>
    <w:p>
      <w:pPr>
        <w:pStyle w:val="Heading1"/>
        <w:pBdr>
          <w:bottom w:val="single" w:color="B08D44" w:sz="8" w:space="4"/>
        </w:pBdr>
        <w:spacing w:after="200" w:before="360"/>
      </w:pPr>
      <w:r>
        <w:rPr>
          <w:b/>
          <w:bCs/>
          <w:color w:val="1A1F2E"/>
          <w:sz w:val="30"/>
          <w:szCs w:val="30"/>
        </w:rPr>
        <w:t xml:space="preserve">7. Próximos pasos y contacto</w:t>
      </w:r>
    </w:p>
    <w:p>
      <w:pPr>
        <w:spacing w:after="160" w:line="300"/>
        <w:jc w:val="both"/>
      </w:pPr>
      <w:r>
        <w:rPr>
          <w:color w:val="2B2F38"/>
          <w:sz w:val="22"/>
          <w:szCs w:val="22"/>
        </w:rPr>
        <w:t xml:space="preserve">KhipuNet se encuentra en su versión 0.1.0, con la base IVAI 2025 ya operativa. La hoja de ruta inmediata contempla la ampliación de la cobertura de nodos, el fortalecimiento de la capa analítica y la consolidación de alianzas institucionales que doten al proyecto de gobernanza compartida y sostenibilidad de largo plazo.</w:t>
      </w:r>
    </w:p>
    <w:p>
      <w:pPr>
        <w:spacing w:after="160" w:line="300"/>
        <w:jc w:val="both"/>
      </w:pPr>
      <w:r>
        <w:rPr>
          <w:color w:val="2B2F38"/>
          <w:sz w:val="22"/>
          <w:szCs w:val="22"/>
        </w:rPr>
        <w:t xml:space="preserve">Invitamos a las instituciones, equipos técnicos y profesionales interesados a sumarse a esta iniciativa, ya sea como colaboradores del repositorio abierto, como nodos registrados de la red o como aliados estratégicos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Organización</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Grupo Biogenia</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Correo</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conecta@biogeniainnova.com</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Teléfono</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+51 925 836 543</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Plataforma</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https://khipunet.vercel.app/</w:t>
            </w:r>
          </w:p>
        </w:tc>
      </w:tr>
      <w:tr>
        <w:tc>
          <w:tcPr>
            <w:tcW w:type="dxa" w:w="2800"/>
            <w:tcBorders>
              <w:top w:val="single" w:color="D8D2C4" w:sz="1"/>
              <w:left w:val="single" w:color="D8D2C4" w:sz="1"/>
              <w:bottom w:val="single" w:color="D8D2C4" w:sz="1"/>
              <w:right w:val="single" w:color="D8D2C4" w:sz="1"/>
            </w:tcBorders>
            <w:shd w:fill="F2EFE8" w:val="clear"/>
            <w:tcMar>
              <w:top w:type="dxa" w:w="100"/>
              <w:left w:type="dxa" w:w="140"/>
              <w:bottom w:type="dxa" w:w="100"/>
              <w:right w:type="dxa" w:w="140"/>
            </w:tcMar>
            <w:vAlign w:val="center"/>
          </w:tcPr>
          <w:p>
            <w:r>
              <w:rPr>
                <w:b/>
                <w:bCs/>
                <w:color w:val="1A1F2E"/>
                <w:sz w:val="21"/>
                <w:szCs w:val="21"/>
              </w:rPr>
              <w:t xml:space="preserve">Repositorio</w:t>
            </w:r>
          </w:p>
        </w:tc>
        <w:tc>
          <w:tcPr>
            <w:tcW w:type="dxa" w:w="6560"/>
            <w:tcBorders>
              <w:top w:val="single" w:color="D8D2C4" w:sz="1"/>
              <w:left w:val="single" w:color="D8D2C4" w:sz="1"/>
              <w:bottom w:val="single" w:color="D8D2C4" w:sz="1"/>
              <w:right w:val="single" w:color="D8D2C4" w:sz="1"/>
            </w:tcBorders>
            <w:tcMar>
              <w:top w:type="dxa" w:w="100"/>
              <w:left w:type="dxa" w:w="140"/>
              <w:bottom w:type="dxa" w:w="100"/>
              <w:right w:type="dxa" w:w="140"/>
            </w:tcMar>
            <w:vAlign w:val="center"/>
          </w:tcPr>
          <w:p>
            <w:r>
              <w:rPr>
                <w:color w:val="2B2F38"/>
                <w:sz w:val="21"/>
                <w:szCs w:val="21"/>
              </w:rPr>
              <w:t xml:space="preserve">github.com/scientificbroker/khipunet</w:t>
            </w:r>
          </w:p>
        </w:tc>
      </w:tr>
    </w:tbl>
    <w:p>
      <w:pPr>
        <w:spacing w:before="400"/>
        <w:jc w:val="center"/>
      </w:pPr>
      <w:r>
        <w:rPr>
          <w:i/>
          <w:iCs/>
          <w:color w:val="5A6477"/>
          <w:sz w:val="21"/>
          <w:szCs w:val="21"/>
        </w:rPr>
        <w:t xml:space="preserve">KhipuNet es una propuesta de Grupo Biogenia al servicio del ecosistema de innovación del Perú.</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space="4"/>
      </w:pBdr>
      <w:tabs>
        <w:tab w:val="right" w:pos="9026"/>
      </w:tabs>
    </w:pPr>
    <w:r>
      <w:rPr>
        <w:color w:val="5A6477"/>
        <w:sz w:val="18"/>
        <w:szCs w:val="18"/>
      </w:rPr>
      <w:t xml:space="preserve">Documento de difusión · Proyecto open source</w:t>
    </w:r>
    <w:r>
      <w:rPr>
        <w:color w:val="5A6477"/>
        <w:sz w:val="18"/>
        <w:szCs w:val="18"/>
      </w:rPr>
      <w:t xml:space="preserve">	Página </w:t>
    </w:r>
    <w:r>
      <w:rPr>
        <w:color w:val="5A64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4"/>
      </w:pBdr>
      <w:tabs>
        <w:tab w:val="right" w:pos="9026"/>
      </w:tabs>
    </w:pPr>
    <w:r>
      <w:rPr>
        <w:color w:val="5A6477"/>
        <w:sz w:val="18"/>
        <w:szCs w:val="18"/>
      </w:rPr>
      <w:t xml:space="preserve">KhipuNet · Informe ejecutivo</w:t>
    </w:r>
    <w:r>
      <w:rPr>
        <w:color w:val="5A6477"/>
        <w:sz w:val="18"/>
        <w:szCs w:val="18"/>
      </w:rPr>
      <w:t xml:space="preserve">	Grupo Biogenia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F2E"/>
      <w:sz w:val="30"/>
      <w:szCs w:val="30"/>
    </w:rPr>
  </w:style>
  <w:style w:type="paragraph" w:styleId="Heading2">
    <w:name w:val="Heading 2"/>
    <w:basedOn w:val="Normal"/>
    <w:next w:val="Normal"/>
    <w:qFormat/>
    <w:pPr>
      <w:spacing w:after="140" w:before="240"/>
      <w:outlineLvl w:val="1"/>
    </w:pPr>
    <w:rPr>
      <w:rFonts w:ascii="Georgia" w:cs="Georgia" w:eastAsia="Georgia" w:hAnsi="Georgia"/>
      <w:b/>
      <w:bCs/>
      <w:color w:val="B08D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i6kl9nzoi2imajphup6q" Type="http://schemas.openxmlformats.org/officeDocument/2006/relationships/hyperlink" Target="https://khipunet.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2026-06-11T18:35:56.223Z</dcterms:created>
  <dcterms:modified xsi:type="dcterms:W3CDTF">2026-06-11T18:35:56.224Z</dcterms:modified>
</cp:coreProperties>
</file>

<file path=docProps/custom.xml><?xml version="1.0" encoding="utf-8"?>
<Properties xmlns="http://schemas.openxmlformats.org/officeDocument/2006/custom-properties" xmlns:vt="http://schemas.openxmlformats.org/officeDocument/2006/docPropsVTypes"/>
</file>