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80"/>
        <w:jc w:val="center"/>
        <w:rPr>
          <w:b/>
          <w:bCs/>
          <w:color w:val="1a4d7d"/>
          <w:sz w:val="40"/>
          <w:szCs w:val="40"/>
        </w:rPr>
      </w:pPr>
      <w:r>
        <w:t xml:space="preserve">Análisis Profundo del Mercado de Tokenización de Activos</w:t>
      </w:r>
    </w:p>
    <w:p>
      <w:pPr>
        <w:spacing w:after="400"/>
        <w:jc w:val="center"/>
        <w:rPr>
          <w:b/>
          <w:bCs/>
          <w:color w:val="2e75b6"/>
          <w:sz w:val="28"/>
          <w:szCs w:val="28"/>
        </w:rPr>
      </w:pPr>
      <w:r>
        <w:t xml:space="preserve">Tangibles e Intangibles en Perú vs Latinoamérica</w:t>
      </w:r>
    </w:p>
    <w:p>
      <w:pPr>
        <w:spacing w:after="480"/>
      </w:pPr>
    </w:p>
    <w:p>
      <w:pPr>
        <w:spacing w:after="240"/>
        <w:jc w:val="center"/>
        <w:rPr>
          <w:sz w:val="22"/>
          <w:szCs w:val="22"/>
        </w:rPr>
      </w:pPr>
      <w:r>
        <w:t xml:space="preserve">Estado del arte, ranking de empresas, tamaño de mercado, sectores con mayor potencial y marco regulatorio</w:t>
      </w:r>
    </w:p>
    <w:p>
      <w:pPr>
        <w:spacing w:after="600"/>
      </w:pPr>
    </w:p>
    <w:p>
      <w:pPr>
        <w:jc w:val="center"/>
        <w:rPr>
          <w:sz w:val="22"/>
          <w:szCs w:val="22"/>
        </w:rPr>
      </w:pPr>
      <w:r>
        <w:t xml:space="preserve">Marzo 2026</w:t>
      </w:r>
    </w:p>
    <w:r>
      <w:br w:type="page"/>
    </w:r>
    <w:p>
      <w:pPr>
        <w:pStyle w:val="Heading1"/>
      </w:pPr>
      <w:r>
        <w:t xml:space="preserve">Tabla de contenidos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t xml:space="preserve">Introducción y contexto global</w:t>
      </w:r>
    </w:p>
    <w:p>
      <w:pPr>
        <w:pStyle w:val="ListParagraph"/>
        <w:numPr>
          <w:ilvl w:val="0"/>
          <w:numId w:val="2"/>
        </w:numPr>
      </w:pPr>
      <w:r>
        <w:t xml:space="preserve">Tamaño de mercado y proyecciones</w:t>
      </w:r>
    </w:p>
    <w:p>
      <w:pPr>
        <w:pStyle w:val="ListParagraph"/>
        <w:numPr>
          <w:ilvl w:val="0"/>
          <w:numId w:val="2"/>
        </w:numPr>
      </w:pPr>
      <w:r>
        <w:t xml:space="preserve">Ranking de países líderes en Latinoamérica</w:t>
      </w:r>
    </w:p>
    <w:p>
      <w:pPr>
        <w:pStyle w:val="ListParagraph"/>
        <w:numPr>
          <w:ilvl w:val="0"/>
          <w:numId w:val="2"/>
        </w:numPr>
      </w:pPr>
      <w:r>
        <w:t xml:space="preserve">Empresas líderes y resultados</w:t>
      </w:r>
    </w:p>
    <w:p>
      <w:pPr>
        <w:pStyle w:val="ListParagraph"/>
        <w:numPr>
          <w:ilvl w:val="0"/>
          <w:numId w:val="2"/>
        </w:numPr>
      </w:pPr>
      <w:r>
        <w:t xml:space="preserve">Estado del arte en tokenización</w:t>
      </w:r>
    </w:p>
    <w:p>
      <w:pPr>
        <w:pStyle w:val="ListParagraph"/>
        <w:numPr>
          <w:ilvl w:val="0"/>
          <w:numId w:val="2"/>
        </w:numPr>
      </w:pPr>
      <w:r>
        <w:t xml:space="preserve">Sectores con mayor potencial en Perú</w:t>
      </w:r>
    </w:p>
    <w:p>
      <w:pPr>
        <w:pStyle w:val="ListParagraph"/>
        <w:numPr>
          <w:ilvl w:val="0"/>
          <w:numId w:val="2"/>
        </w:numPr>
      </w:pPr>
      <w:r>
        <w:t xml:space="preserve">Marco regulatorio en Perú</w:t>
      </w:r>
    </w:p>
    <w:p>
      <w:pPr>
        <w:pStyle w:val="ListParagraph"/>
        <w:numPr>
          <w:ilvl w:val="0"/>
          <w:numId w:val="2"/>
        </w:numPr>
      </w:pPr>
      <w:r>
        <w:t xml:space="preserve">Requisitos para operar como empresa de tokenización</w:t>
      </w:r>
    </w:p>
    <w:p>
      <w:pPr>
        <w:pStyle w:val="ListParagraph"/>
        <w:numPr>
          <w:ilvl w:val="0"/>
          <w:numId w:val="2"/>
        </w:numPr>
      </w:pPr>
      <w:r>
        <w:t xml:space="preserve">Conclusiones y recomendaciones</w:t>
      </w:r>
    </w:p>
    <w:r>
      <w:br w:type="page"/>
    </w:r>
    <w:p>
      <w:pPr>
        <w:pStyle w:val="Heading1"/>
      </w:pPr>
      <w:r>
        <w:t xml:space="preserve">1. Introducción y contexto global</w:t>
      </w:r>
    </w:p>
    <w:p>
      <w:pPr>
        <w:spacing w:after="200"/>
      </w:pPr>
      <w:r>
        <w:t xml:space="preserve">La tokenización de activos representa una de las transformaciones más significativas en los mercados financieros modernos. Este proceso convierte activos físicos, financieros, tangibles e intangibles en representaciones digitales (tokens) registradas en blockchain, revolucionando la forma en que se compra, vende e invierte en bienes raíces, bonos, arte, deuda y múltiples categorías de activos.</w:t>
      </w:r>
    </w:p>
    <w:p>
      <w:pPr>
        <w:spacing w:after="200"/>
      </w:pPr>
      <w:r>
        <w:t xml:space="preserve">La tecnología blockchain proporciona inmutabilidad, transparencia y seguridad sin intermediarios costosos, democratizando el acceso a mercados que históricamente han estado reservados para inversores institucionales con gran poder adquisitivo. En Latinoamérica, esta innovación cobra especial relevancia dado el contexto de baja bancarización, inflación, restricciones cambiarias y oportunidad de dolarizar ahorros.</w:t>
      </w:r>
    </w:p>
    <w:p>
      <w:pPr>
        <w:spacing w:after="240"/>
      </w:pPr>
      <w:r>
        <w:t xml:space="preserve">Para 2030 se proyecta que el mercado global de activos tokenizados alcanzará entre 2 y 16 billones de dólares, representando aproximadamente el 10% del PIB mundial. Este análisis examina el estado actual en Perú y Latinoamérica, incluyendo empresas líderes, tamaño de mercado, sectores prioritarios y el marco legal necesario para operar como plataforma de tokenización.</w:t>
      </w:r>
    </w:p>
    <w:p>
      <w:pPr>
        <w:pStyle w:val="Heading1"/>
      </w:pPr>
      <w:r>
        <w:t xml:space="preserve">2. Tamaño de mercado y proyecciones</w:t>
      </w:r>
    </w:p>
    <w:p>
      <w:pPr>
        <w:pStyle w:val="Heading2"/>
      </w:pPr>
      <w:r>
        <w:t xml:space="preserve">2.1 Mercado global</w:t>
      </w:r>
    </w:p>
    <w:p>
      <w:pPr>
        <w:pStyle w:val="ListParagraph"/>
        <w:numPr>
          <w:ilvl w:val="0"/>
          <w:numId w:val="3"/>
        </w:numPr>
      </w:pPr>
      <w:r>
        <w:t xml:space="preserve">Valoración 2024: USD 3.32 mil millones</w:t>
      </w:r>
    </w:p>
    <w:p>
      <w:pPr>
        <w:pStyle w:val="ListParagraph"/>
        <w:numPr>
          <w:ilvl w:val="0"/>
          <w:numId w:val="3"/>
        </w:numPr>
      </w:pPr>
      <w:r>
        <w:t xml:space="preserve">Proyección 2025: USD 3.95 mil millones</w:t>
      </w:r>
    </w:p>
    <w:p>
      <w:pPr>
        <w:pStyle w:val="ListParagraph"/>
        <w:numPr>
          <w:ilvl w:val="0"/>
          <w:numId w:val="3"/>
        </w:numPr>
      </w:pPr>
      <w:r>
        <w:t xml:space="preserve">Proyección 2032: USD 12.83 mil millones</w:t>
      </w:r>
    </w:p>
    <w:p>
      <w:pPr>
        <w:pStyle w:val="ListParagraph"/>
        <w:numPr>
          <w:ilvl w:val="0"/>
          <w:numId w:val="3"/>
        </w:numPr>
      </w:pPr>
      <w:r>
        <w:t xml:space="preserve">Tasa de crecimiento anual (CAGR 2025-2032): 18.3%</w:t>
      </w:r>
    </w:p>
    <w:p>
      <w:pPr>
        <w:pStyle w:val="ListParagraph"/>
        <w:numPr>
          <w:ilvl w:val="0"/>
          <w:numId w:val="3"/>
        </w:numPr>
      </w:pPr>
      <w:r>
        <w:t xml:space="preserve">Mercado RWA (Real World Assets): USD 17 mil millones a inicio de 2025</w:t>
      </w:r>
    </w:p>
    <w:p>
      <w:pPr>
        <w:spacing w:after="200"/>
      </w:pPr>
    </w:p>
    <w:p>
      <w:pPr>
        <w:pStyle w:val="Heading2"/>
      </w:pPr>
      <w:r>
        <w:t xml:space="preserve">2.2 Distribución geográfica (2025)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América del Norte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Asia-Pacífico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Europa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Otros (incl. Latam)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Contexto Latinoamericano</w:t>
      </w:r>
    </w:p>
    <w:p>
      <w:pPr>
        <w:pStyle w:val="ListParagraph"/>
        <w:numPr>
          <w:ilvl w:val="0"/>
          <w:numId w:val="3"/>
        </w:numPr>
      </w:pPr>
      <w:r>
        <w:t xml:space="preserve">Transacciones cripto acumuladas (julio 2023 - junio 2024): USD 415 mil millones</w:t>
      </w:r>
    </w:p>
    <w:p>
      <w:pPr>
        <w:pStyle w:val="ListParagraph"/>
        <w:numPr>
          <w:ilvl w:val="0"/>
          <w:numId w:val="3"/>
        </w:numPr>
      </w:pPr>
      <w:r>
        <w:t xml:space="preserve">Líderes regionales: Argentina, Brasil y Venezuela (stablecoins)</w:t>
      </w:r>
    </w:p>
    <w:p>
      <w:pPr>
        <w:pStyle w:val="ListParagraph"/>
        <w:numPr>
          <w:ilvl w:val="0"/>
          <w:numId w:val="3"/>
        </w:numPr>
      </w:pPr>
      <w:r>
        <w:t xml:space="preserve">Crecimiento anualizado en tokenización: Entre 17% y 32% durante 2024</w:t>
      </w:r>
    </w:p>
    <w:p>
      <w:pPr>
        <w:pStyle w:val="ListParagraph"/>
        <w:numPr>
          <w:ilvl w:val="0"/>
          <w:numId w:val="3"/>
        </w:numPr>
      </w:pPr>
      <w:r>
        <w:t xml:space="preserve">Mercado inmobiliario tokenizado APAC (2025): USD 800 millones</w:t>
      </w:r>
    </w:p>
    <w:p>
      <w:pPr>
        <w:spacing w:after="240"/>
      </w:pPr>
    </w:p>
    <w:p>
      <w:pPr>
        <w:pStyle w:val="Heading1"/>
      </w:pPr>
      <w:r>
        <w:t xml:space="preserve">3. Ranking de países líderes en Latinoamérica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790"/>
        <w:gridCol w:w="267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País</w:t>
            </w:r>
          </w:p>
        </w:tc>
        <w:tc>
          <w:tcPr>
            <w:tcW w:type="dxa" w:w="2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Indicadores clave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Fortalezas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Brasil</w:t>
            </w:r>
          </w:p>
        </w:tc>
        <w:tc>
          <w:tcPr>
            <w:tcW w:type="dxa" w:w="2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 318.8B cripto; 5º RWA global; 62% tráfico redes sociales LATAM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Regulación avanzada; infraestructura; adopción institucional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Argentina</w:t>
            </w:r>
          </w:p>
        </w:tc>
        <w:tc>
          <w:tcPr>
            <w:tcW w:type="dxa" w:w="2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uso stablecoins; CNV aprobó fase 2 tokenización (2025)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Marco regulatorio emergente; caso AFA fútbol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México</w:t>
            </w:r>
          </w:p>
        </w:tc>
        <w:tc>
          <w:tcPr>
            <w:tcW w:type="dxa" w:w="2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Decreto metaverso/tokens (2024); Reental tokenzó inmuebles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Ecosistema fintech grande; adaptación normativa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Colombia</w:t>
            </w:r>
          </w:p>
        </w:tc>
        <w:tc>
          <w:tcPr>
            <w:tcW w:type="dxa" w:w="2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Crecimiento acelerado; explorando tokenización inmobiliaria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Mercado en expansión; regulación en desarrollo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Perú</w:t>
            </w:r>
          </w:p>
        </w:tc>
        <w:tc>
          <w:tcPr>
            <w:tcW w:type="dxa" w:w="2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Ranking cripto global 37º; P2P activo; iniciativas tokenización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Marco legal existente; mercado receptivo; potencial alto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4. Empresas líderes y resultados</w:t>
      </w:r>
    </w:p>
    <w:p>
      <w:pPr>
        <w:pStyle w:val="Heading2"/>
      </w:pPr>
      <w:r>
        <w:t xml:space="preserve">4.1 Reental (España/Latinoamérica)</w:t>
      </w:r>
    </w:p>
    <w:p>
      <w:pPr>
        <w:pStyle w:val="ListParagraph"/>
        <w:numPr>
          <w:ilvl w:val="0"/>
          <w:numId w:val="3"/>
        </w:numPr>
      </w:pPr>
      <w:r>
        <w:t xml:space="preserve">Activos tokenizados: USD 80 millones</w:t>
      </w:r>
    </w:p>
    <w:p>
      <w:pPr>
        <w:pStyle w:val="ListParagraph"/>
        <w:numPr>
          <w:ilvl w:val="0"/>
          <w:numId w:val="3"/>
        </w:numPr>
      </w:pPr>
      <w:r>
        <w:t xml:space="preserve">Presencia: 6 países (España, Estados Unidos, México, Argentina, República Dominicana, EAU)</w:t>
      </w:r>
    </w:p>
    <w:p>
      <w:pPr>
        <w:pStyle w:val="ListParagraph"/>
        <w:numPr>
          <w:ilvl w:val="0"/>
          <w:numId w:val="3"/>
        </w:numPr>
      </w:pPr>
      <w:r>
        <w:t xml:space="preserve">Usuarios: 28,000+ de 102 países</w:t>
      </w:r>
    </w:p>
    <w:p>
      <w:pPr>
        <w:pStyle w:val="ListParagraph"/>
        <w:numPr>
          <w:ilvl w:val="0"/>
          <w:numId w:val="3"/>
        </w:numPr>
      </w:pPr>
      <w:r>
        <w:t xml:space="preserve">Modelo: Préstamos participativos tokenizados y fraccionalización de derechos de propiedad</w:t>
      </w:r>
    </w:p>
    <w:p>
      <w:pPr>
        <w:pStyle w:val="ListParagraph"/>
        <w:numPr>
          <w:ilvl w:val="0"/>
          <w:numId w:val="3"/>
        </w:numPr>
      </w:pPr>
      <w:r>
        <w:t xml:space="preserve">Rentabilidad: 8-12% anual en proyectos residenciales</w:t>
      </w:r>
    </w:p>
    <w:p>
      <w:pPr>
        <w:pStyle w:val="ListParagraph"/>
        <w:numPr>
          <w:ilvl w:val="0"/>
          <w:numId w:val="3"/>
        </w:numPr>
      </w:pPr>
      <w:r>
        <w:t xml:space="preserve">Último proyecto (2025): Tokenización de hotel Dania Beach en Florida (USD 5.6M, 15.5% anualizado)</w:t>
      </w:r>
    </w:p>
    <w:p>
      <w:pPr>
        <w:spacing w:after="200"/>
      </w:pPr>
    </w:p>
    <w:p>
      <w:pPr>
        <w:pStyle w:val="Heading2"/>
      </w:pPr>
      <w:r>
        <w:t xml:space="preserve">4.2 Mercado Bitcoin (Brasil)</w:t>
      </w:r>
    </w:p>
    <w:p>
      <w:pPr>
        <w:pStyle w:val="ListParagraph"/>
        <w:numPr>
          <w:ilvl w:val="0"/>
          <w:numId w:val="3"/>
        </w:numPr>
      </w:pPr>
      <w:r>
        <w:t xml:space="preserve">Usuarios: 4.2 millones</w:t>
      </w:r>
    </w:p>
    <w:p>
      <w:pPr>
        <w:pStyle w:val="ListParagraph"/>
        <w:numPr>
          <w:ilvl w:val="0"/>
          <w:numId w:val="3"/>
        </w:numPr>
      </w:pPr>
      <w:r>
        <w:t xml:space="preserve">Activos disponibles: 650+ diferentes</w:t>
      </w:r>
    </w:p>
    <w:p>
      <w:pPr>
        <w:pStyle w:val="ListParagraph"/>
        <w:numPr>
          <w:ilvl w:val="0"/>
          <w:numId w:val="3"/>
        </w:numPr>
      </w:pPr>
      <w:r>
        <w:t xml:space="preserve">Posición global en tokenización RWA: 5º lugar</w:t>
      </w:r>
    </w:p>
    <w:p>
      <w:pPr>
        <w:pStyle w:val="ListParagraph"/>
        <w:numPr>
          <w:ilvl w:val="0"/>
          <w:numId w:val="3"/>
        </w:numPr>
      </w:pPr>
      <w:r>
        <w:t xml:space="preserve">Clientes corporativos: En crecimiento acelerado (SMEs con 10-15% de activos en plataforma)</w:t>
      </w:r>
    </w:p>
    <w:p>
      <w:pPr>
        <w:spacing w:after="200"/>
      </w:pPr>
    </w:p>
    <w:p>
      <w:pPr>
        <w:pStyle w:val="Heading2"/>
      </w:pPr>
      <w:r>
        <w:t xml:space="preserve">4.3 RealT (Estados Unidos - accesible para Latinoamérica)</w:t>
      </w:r>
    </w:p>
    <w:p>
      <w:pPr>
        <w:pStyle w:val="ListParagraph"/>
        <w:numPr>
          <w:ilvl w:val="0"/>
          <w:numId w:val="3"/>
        </w:numPr>
      </w:pPr>
      <w:r>
        <w:t xml:space="preserve">Modelo: Fraccionalización residencial desde USD 50-100</w:t>
      </w:r>
    </w:p>
    <w:p>
      <w:pPr>
        <w:pStyle w:val="ListParagraph"/>
        <w:numPr>
          <w:ilvl w:val="0"/>
          <w:numId w:val="3"/>
        </w:numPr>
      </w:pPr>
      <w:r>
        <w:t xml:space="preserve">Propiedades tokenizadas: Múltiples en Detroit, Miami y Chicago</w:t>
      </w:r>
    </w:p>
    <w:p>
      <w:pPr>
        <w:pStyle w:val="ListParagraph"/>
        <w:numPr>
          <w:ilvl w:val="0"/>
          <w:numId w:val="3"/>
        </w:numPr>
      </w:pPr>
      <w:r>
        <w:t xml:space="preserve">Rentabilidad: 8-12% anual por ingresos de alquiler</w:t>
      </w:r>
    </w:p>
    <w:p>
      <w:pPr>
        <w:pStyle w:val="ListParagraph"/>
        <w:numPr>
          <w:ilvl w:val="0"/>
          <w:numId w:val="3"/>
        </w:numPr>
      </w:pPr>
      <w:r>
        <w:t xml:space="preserve">Blockchain: Ethereum</w:t>
      </w:r>
    </w:p>
    <w:p>
      <w:pPr>
        <w:spacing w:after="200"/>
      </w:pPr>
    </w:p>
    <w:p>
      <w:pPr>
        <w:pStyle w:val="Heading2"/>
      </w:pPr>
      <w:r>
        <w:t xml:space="preserve">4.4 Otras plataformas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Especialidad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Año de fundación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Transacciones inmobiliarias (USD 4B+ desde 2017)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Harbor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Activos inmobiliarios comerciales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SolidBlock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Propiedades de lujo (ej: St. Regis Aspen)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BrickBlock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Emisión y gestión de tokens inmobiliarios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2018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5. Estado del arte en tokenización</w:t>
      </w:r>
    </w:p>
    <w:p>
      <w:pPr>
        <w:pStyle w:val="Heading2"/>
      </w:pPr>
      <w:r>
        <w:t xml:space="preserve">5.1 Activos en vanguardia</w:t>
      </w:r>
    </w:p>
    <w:p>
      <w:pPr>
        <w:pStyle w:val="ListParagraph"/>
        <w:numPr>
          <w:ilvl w:val="0"/>
          <w:numId w:val="3"/>
        </w:numPr>
      </w:pPr>
      <w:r>
        <w:t xml:space="preserve">Bienes raíces: 25% del volumen de emisión global (REIT tokenizados, propiedades fraccionadas)</w:t>
      </w:r>
    </w:p>
    <w:p>
      <w:pPr>
        <w:pStyle w:val="ListParagraph"/>
        <w:numPr>
          <w:ilvl w:val="0"/>
          <w:numId w:val="3"/>
        </w:numPr>
      </w:pPr>
      <w:r>
        <w:t xml:space="preserve">Bonos corporativos: Siemens emitió EUR 300M en DLT con liquidación en 2 horas</w:t>
      </w:r>
    </w:p>
    <w:p>
      <w:pPr>
        <w:pStyle w:val="ListParagraph"/>
        <w:numPr>
          <w:ilvl w:val="0"/>
          <w:numId w:val="3"/>
        </w:numPr>
      </w:pPr>
      <w:r>
        <w:t xml:space="preserve">Deuda tokenizada: Crédito privado para inversores institucionales (Apollo)</w:t>
      </w:r>
    </w:p>
    <w:p>
      <w:pPr>
        <w:pStyle w:val="ListParagraph"/>
        <w:numPr>
          <w:ilvl w:val="0"/>
          <w:numId w:val="3"/>
        </w:numPr>
      </w:pPr>
      <w:r>
        <w:t xml:space="preserve">Tesoro de EE.UU.: BlackRock lanzó BUIDL (fondo tokenizado del Tesoro)</w:t>
      </w:r>
    </w:p>
    <w:p>
      <w:pPr>
        <w:pStyle w:val="ListParagraph"/>
        <w:numPr>
          <w:ilvl w:val="0"/>
          <w:numId w:val="3"/>
        </w:numPr>
      </w:pPr>
      <w:r>
        <w:t xml:space="preserve">Activos alternativos: Arte, colecciones, vino premium, derechos deportivos</w:t>
      </w:r>
    </w:p>
    <w:p>
      <w:pPr>
        <w:spacing w:after="200"/>
      </w:pPr>
    </w:p>
    <w:p>
      <w:pPr>
        <w:pStyle w:val="Heading2"/>
      </w:pPr>
      <w:r>
        <w:t xml:space="preserve">5.2 Infraestructura y estándares</w:t>
      </w:r>
    </w:p>
    <w:p>
      <w:pPr>
        <w:pStyle w:val="ListParagraph"/>
        <w:numPr>
          <w:ilvl w:val="0"/>
          <w:numId w:val="3"/>
        </w:numPr>
      </w:pPr>
      <w:r>
        <w:t xml:space="preserve">Estándar ERC-3643 (T-REX): Protocolo de excelencia para RWA en Ethereum</w:t>
      </w:r>
    </w:p>
    <w:p>
      <w:pPr>
        <w:pStyle w:val="ListParagraph"/>
        <w:numPr>
          <w:ilvl w:val="0"/>
          <w:numId w:val="3"/>
        </w:numPr>
      </w:pPr>
      <w:r>
        <w:t xml:space="preserve">Blockchain principales: Ethereum, Polygon, BNB Chain</w:t>
      </w:r>
    </w:p>
    <w:p>
      <w:pPr>
        <w:pStyle w:val="ListParagraph"/>
        <w:numPr>
          <w:ilvl w:val="0"/>
          <w:numId w:val="3"/>
        </w:numPr>
      </w:pPr>
      <w:r>
        <w:t xml:space="preserve">KYC/AML integrado: Verificación automática en plataformas reguladas</w:t>
      </w:r>
    </w:p>
    <w:p>
      <w:pPr>
        <w:pStyle w:val="ListParagraph"/>
        <w:numPr>
          <w:ilvl w:val="0"/>
          <w:numId w:val="3"/>
        </w:numPr>
      </w:pPr>
      <w:r>
        <w:t xml:space="preserve">Smart contracts: Automatización de distribuciones de dividendos y funciones de votación</w:t>
      </w:r>
    </w:p>
    <w:p>
      <w:pPr>
        <w:pStyle w:val="ListParagraph"/>
        <w:numPr>
          <w:ilvl w:val="0"/>
          <w:numId w:val="3"/>
        </w:numPr>
      </w:pPr>
      <w:r>
        <w:t xml:space="preserve">Liquidez secundaria: Solo 15% de tokens emitidos se negocian en mercados secundarios (alto potencial)</w:t>
      </w:r>
    </w:p>
    <w:p>
      <w:pPr>
        <w:spacing w:after="200"/>
      </w:pPr>
    </w:p>
    <w:p>
      <w:pPr>
        <w:pStyle w:val="Heading2"/>
      </w:pPr>
      <w:r>
        <w:t xml:space="preserve">5.3 Participación institucional</w:t>
      </w:r>
    </w:p>
    <w:p>
      <w:pPr>
        <w:pStyle w:val="ListParagraph"/>
        <w:numPr>
          <w:ilvl w:val="0"/>
          <w:numId w:val="3"/>
        </w:numPr>
      </w:pPr>
      <w:r>
        <w:t xml:space="preserve">Goldman Sachs, Citigroup, HSBC: Explorando tokenización de bonos</w:t>
      </w:r>
    </w:p>
    <w:p>
      <w:pPr>
        <w:pStyle w:val="ListParagraph"/>
        <w:numPr>
          <w:ilvl w:val="0"/>
          <w:numId w:val="3"/>
        </w:numPr>
      </w:pPr>
      <w:r>
        <w:t xml:space="preserve">Bancos centrales: Investigando CBDCs y pagos tokenizados</w:t>
      </w:r>
    </w:p>
    <w:p>
      <w:pPr>
        <w:pStyle w:val="ListParagraph"/>
        <w:numPr>
          <w:ilvl w:val="0"/>
          <w:numId w:val="3"/>
        </w:numPr>
      </w:pPr>
      <w:r>
        <w:t xml:space="preserve">Transición 2023-2025: De experimentación con baja regulación a infraestructura de grado institucional</w:t>
      </w:r>
    </w:p>
    <w:p>
      <w:pPr>
        <w:spacing w:after="240"/>
      </w:pPr>
    </w:p>
    <w:p>
      <w:pPr>
        <w:pStyle w:val="Heading1"/>
      </w:pPr>
      <w:r>
        <w:t xml:space="preserve">6. Sectores con mayor potencial en Perú</w:t>
      </w:r>
    </w:p>
    <w:p>
      <w:pPr>
        <w:pStyle w:val="Heading2"/>
      </w:pPr>
      <w:r>
        <w:t xml:space="preserve">6.1 Sector inmobiliario (prioridad máxima)</w:t>
      </w:r>
    </w:p>
    <w:p>
      <w:pPr>
        <w:pStyle w:val="ListParagraph"/>
        <w:numPr>
          <w:ilvl w:val="0"/>
          <w:numId w:val="3"/>
        </w:numPr>
      </w:pPr>
      <w:r>
        <w:t xml:space="preserve">Razón: Activo mayor, fragmentado, altamente ilíquido y accesible a democratización</w:t>
      </w:r>
    </w:p>
    <w:p>
      <w:pPr>
        <w:pStyle w:val="ListParagraph"/>
        <w:numPr>
          <w:ilvl w:val="0"/>
          <w:numId w:val="3"/>
        </w:numPr>
      </w:pPr>
      <w:r>
        <w:t xml:space="preserve">Mercado actual: Crecimiento consistente con demanda de viviendas multifamiliares</w:t>
      </w:r>
    </w:p>
    <w:p>
      <w:pPr>
        <w:pStyle w:val="ListParagraph"/>
        <w:numPr>
          <w:ilvl w:val="0"/>
          <w:numId w:val="3"/>
        </w:numPr>
      </w:pPr>
      <w:r>
        <w:t xml:space="preserve">Limitación: Altos costos de financiamiento bancario (tasas de interés elevadas)</w:t>
      </w:r>
    </w:p>
    <w:p>
      <w:pPr>
        <w:pStyle w:val="ListParagraph"/>
        <w:numPr>
          <w:ilvl w:val="0"/>
          <w:numId w:val="3"/>
        </w:numPr>
      </w:pPr>
      <w:r>
        <w:t xml:space="preserve">Oportunidad: Fraccionalización reduce ticket mínimo de inversión y atrae inversores minoristas</w:t>
      </w:r>
    </w:p>
    <w:p>
      <w:pPr>
        <w:pStyle w:val="ListParagraph"/>
        <w:numPr>
          <w:ilvl w:val="0"/>
          <w:numId w:val="3"/>
        </w:numPr>
      </w:pPr>
      <w:r>
        <w:t xml:space="preserve">Rentabilidad esperada: 8-15% anual por ingresos de alquiler</w:t>
      </w:r>
    </w:p>
    <w:p>
      <w:pPr>
        <w:spacing w:after="200"/>
      </w:pPr>
    </w:p>
    <w:p>
      <w:pPr>
        <w:pStyle w:val="Heading2"/>
      </w:pPr>
      <w:r>
        <w:t xml:space="preserve">6.2 Sector turístico y hotelero</w:t>
      </w:r>
    </w:p>
    <w:p>
      <w:pPr>
        <w:pStyle w:val="ListParagraph"/>
        <w:numPr>
          <w:ilvl w:val="0"/>
          <w:numId w:val="3"/>
        </w:numPr>
      </w:pPr>
      <w:r>
        <w:t xml:space="preserve">Potencial: Propiedades vacacionales, resorts, aparthoteles</w:t>
      </w:r>
    </w:p>
    <w:p>
      <w:pPr>
        <w:pStyle w:val="ListParagraph"/>
        <w:numPr>
          <w:ilvl w:val="0"/>
          <w:numId w:val="3"/>
        </w:numPr>
      </w:pPr>
      <w:r>
        <w:t xml:space="preserve">Caso referente: Reental tokenizó primer hotel en 2025 con 15.5% anualizado</w:t>
      </w:r>
    </w:p>
    <w:p>
      <w:pPr>
        <w:pStyle w:val="ListParagraph"/>
        <w:numPr>
          <w:ilvl w:val="0"/>
          <w:numId w:val="3"/>
        </w:numPr>
      </w:pPr>
      <w:r>
        <w:t xml:space="preserve">Ventaja: Ingresos predecibles por ocupación, acceso a inversores globales</w:t>
      </w:r>
    </w:p>
    <w:p>
      <w:pPr>
        <w:spacing w:after="200"/>
      </w:pPr>
    </w:p>
    <w:p>
      <w:pPr>
        <w:pStyle w:val="Heading2"/>
      </w:pPr>
      <w:r>
        <w:t xml:space="preserve">6.3 Facturas comerciales y deuda corporativa</w:t>
      </w:r>
    </w:p>
    <w:p>
      <w:pPr>
        <w:pStyle w:val="ListParagraph"/>
        <w:numPr>
          <w:ilvl w:val="0"/>
          <w:numId w:val="3"/>
        </w:numPr>
      </w:pPr>
      <w:r>
        <w:t xml:space="preserve">Modelo: Tokenización de cuentas por cobrar (factoring digital)</w:t>
      </w:r>
    </w:p>
    <w:p>
      <w:pPr>
        <w:pStyle w:val="ListParagraph"/>
        <w:numPr>
          <w:ilvl w:val="0"/>
          <w:numId w:val="3"/>
        </w:numPr>
      </w:pPr>
      <w:r>
        <w:t xml:space="preserve">Beneficiarios: PYMEs con dificultad de acceso a crédito tradicional</w:t>
      </w:r>
    </w:p>
    <w:p>
      <w:pPr>
        <w:pStyle w:val="ListParagraph"/>
        <w:numPr>
          <w:ilvl w:val="0"/>
          <w:numId w:val="3"/>
        </w:numPr>
      </w:pPr>
      <w:r>
        <w:t xml:space="preserve">Impacto: Liquidez inmediata, reducción de intermediarios, costos 50-70% menores</w:t>
      </w:r>
    </w:p>
    <w:p>
      <w:pPr>
        <w:spacing w:after="200"/>
      </w:pPr>
    </w:p>
    <w:p>
      <w:pPr>
        <w:pStyle w:val="Heading2"/>
      </w:pPr>
      <w:r>
        <w:t xml:space="preserve">6.4 Derechos de explotación y activos intangibles</w:t>
      </w:r>
    </w:p>
    <w:p>
      <w:pPr>
        <w:pStyle w:val="ListParagraph"/>
        <w:numPr>
          <w:ilvl w:val="0"/>
          <w:numId w:val="3"/>
        </w:numPr>
      </w:pPr>
      <w:r>
        <w:t xml:space="preserve">Minería y recursos: Derechos de exploración, participaciones en royalties</w:t>
      </w:r>
    </w:p>
    <w:p>
      <w:pPr>
        <w:pStyle w:val="ListParagraph"/>
        <w:numPr>
          <w:ilvl w:val="0"/>
          <w:numId w:val="3"/>
        </w:numPr>
      </w:pPr>
      <w:r>
        <w:t xml:space="preserve">Derechos de autor: Catalogación de obras artísticas, musicales</w:t>
      </w:r>
    </w:p>
    <w:p>
      <w:pPr>
        <w:pStyle w:val="ListParagraph"/>
        <w:numPr>
          <w:ilvl w:val="0"/>
          <w:numId w:val="3"/>
        </w:numPr>
      </w:pPr>
      <w:r>
        <w:t xml:space="preserve">Propiedad intelectual: Patentes, marcas fraccionales</w:t>
      </w:r>
    </w:p>
    <w:p>
      <w:pPr>
        <w:spacing w:after="200"/>
      </w:pPr>
    </w:p>
    <w:p>
      <w:pPr>
        <w:pStyle w:val="Heading2"/>
      </w:pPr>
      <w:r>
        <w:t xml:space="preserve">6.5 Bonos y títulos de deuda</w:t>
      </w:r>
    </w:p>
    <w:p>
      <w:pPr>
        <w:pStyle w:val="ListParagraph"/>
        <w:numPr>
          <w:ilvl w:val="0"/>
          <w:numId w:val="3"/>
        </w:numPr>
      </w:pPr>
      <w:r>
        <w:t xml:space="preserve">Modelo: Bonos corporativos tokenizados, emisiones de gobiernos locales</w:t>
      </w:r>
    </w:p>
    <w:p>
      <w:pPr>
        <w:pStyle w:val="ListParagraph"/>
        <w:numPr>
          <w:ilvl w:val="0"/>
          <w:numId w:val="3"/>
        </w:numPr>
      </w:pPr>
      <w:r>
        <w:t xml:space="preserve">Ventaja: Liquidación en 2 horas vs días tradicionales, cumplimiento automatizado</w:t>
      </w:r>
    </w:p>
    <w:p>
      <w:pPr>
        <w:pStyle w:val="ListParagraph"/>
        <w:numPr>
          <w:ilvl w:val="0"/>
          <w:numId w:val="3"/>
        </w:numPr>
      </w:pPr>
      <w:r>
        <w:t xml:space="preserve">Referente: HSBC implementó Orion para infraestructura de bonos digitales</w:t>
      </w:r>
    </w:p>
    <w:p>
      <w:pPr>
        <w:spacing w:after="240"/>
      </w:pPr>
    </w:p>
    <w:r>
      <w:br w:type="page"/>
    </w:r>
    <w:p>
      <w:pPr>
        <w:pStyle w:val="Heading1"/>
      </w:pPr>
      <w:r>
        <w:t xml:space="preserve">7. Marco regulatorio en Perú</w:t>
      </w:r>
    </w:p>
    <w:p>
      <w:pPr>
        <w:pStyle w:val="Heading2"/>
      </w:pPr>
      <w:r>
        <w:t xml:space="preserve">7.1 Situación actual</w:t>
      </w:r>
    </w:p>
    <w:p>
      <w:pPr>
        <w:spacing w:after="200"/>
      </w:pPr>
      <w:r>
        <w:t xml:space="preserve">Perú se encuentra en una posición única en Latinoamérica: tiene un ecosistema cripto activo pero sin marco regulatorio integral para tokenización. Esta realidad presenta tanto oportunidades como riesgos.</w:t>
      </w:r>
    </w:p>
    <w:p>
      <w:pPr>
        <w:pStyle w:val="ListParagraph"/>
        <w:numPr>
          <w:ilvl w:val="0"/>
          <w:numId w:val="3"/>
        </w:numPr>
      </w:pPr>
      <w:r>
        <w:t xml:space="preserve">Posición en ranking global: 37º en adopción de criptomonedas (2024)</w:t>
      </w:r>
    </w:p>
    <w:p>
      <w:pPr>
        <w:pStyle w:val="ListParagraph"/>
        <w:numPr>
          <w:ilvl w:val="0"/>
          <w:numId w:val="3"/>
        </w:numPr>
      </w:pPr>
      <w:r>
        <w:t xml:space="preserve">Característica: Fuerte comercio P2P informal, especialmente en USDT</w:t>
      </w:r>
    </w:p>
    <w:p>
      <w:pPr>
        <w:pStyle w:val="ListParagraph"/>
        <w:numPr>
          <w:ilvl w:val="0"/>
          <w:numId w:val="3"/>
        </w:numPr>
      </w:pPr>
      <w:r>
        <w:t xml:space="preserve">Regulador principal: Superintendencia del Mercado de Valores (SMV)</w:t>
      </w:r>
    </w:p>
    <w:p>
      <w:pPr>
        <w:pStyle w:val="ListParagraph"/>
        <w:numPr>
          <w:ilvl w:val="0"/>
          <w:numId w:val="3"/>
        </w:numPr>
      </w:pPr>
      <w:r>
        <w:t xml:space="preserve">Proyecto de ley pendiente (2024): Regulación de exchanges - AÚN NO APROBADO</w:t>
      </w:r>
    </w:p>
    <w:p>
      <w:pPr>
        <w:spacing w:after="200"/>
      </w:pPr>
    </w:p>
    <w:p>
      <w:pPr>
        <w:pStyle w:val="Heading2"/>
      </w:pPr>
      <w:r>
        <w:t xml:space="preserve">7.2 Marco legal existente aplicable</w:t>
      </w:r>
    </w:p>
    <w:p>
      <w:pPr>
        <w:pStyle w:val="Heading3"/>
      </w:pPr>
      <w:r>
        <w:t xml:space="preserve">a) Ley de Mercado de Valores (LMV)</w:t>
      </w:r>
    </w:p>
    <w:p>
      <w:pPr>
        <w:spacing w:after="100"/>
      </w:pPr>
      <w:r>
        <w:t xml:space="preserve">Aplicable si los tokens se califican como valores mobiliarios. Requiere:</w:t>
      </w:r>
    </w:p>
    <w:p>
      <w:pPr>
        <w:pStyle w:val="ListParagraph"/>
        <w:numPr>
          <w:ilvl w:val="1"/>
          <w:numId w:val="3"/>
        </w:numPr>
      </w:pPr>
      <w:r>
        <w:t xml:space="preserve">Autorización previa de la SMV</w:t>
      </w:r>
    </w:p>
    <w:p>
      <w:pPr>
        <w:pStyle w:val="ListParagraph"/>
        <w:numPr>
          <w:ilvl w:val="1"/>
          <w:numId w:val="3"/>
        </w:numPr>
      </w:pPr>
      <w:r>
        <w:t xml:space="preserve">Inscripción en Registro Público del Mercado de Valores</w:t>
      </w:r>
    </w:p>
    <w:p>
      <w:pPr>
        <w:pStyle w:val="ListParagraph"/>
        <w:numPr>
          <w:ilvl w:val="1"/>
          <w:numId w:val="3"/>
        </w:numPr>
      </w:pPr>
      <w:r>
        <w:t xml:space="preserve">Prospecto informativo detallado</w:t>
      </w:r>
    </w:p>
    <w:p>
      <w:pPr>
        <w:pStyle w:val="ListParagraph"/>
        <w:numPr>
          <w:ilvl w:val="1"/>
          <w:numId w:val="3"/>
        </w:numPr>
      </w:pPr>
      <w:r>
        <w:t xml:space="preserve">Clasificación de riesgo emitida por agencia calificadora registrada</w:t>
      </w:r>
    </w:p>
    <w:p>
      <w:pPr>
        <w:pStyle w:val="ListParagraph"/>
        <w:numPr>
          <w:ilvl w:val="1"/>
          <w:numId w:val="3"/>
        </w:numPr>
      </w:pPr>
      <w:r>
        <w:t xml:space="preserve">Estados financieros auditados conforme NIIF</w:t>
      </w:r>
    </w:p>
    <w:p>
      <w:pPr>
        <w:spacing w:after="150"/>
      </w:pPr>
    </w:p>
    <w:p>
      <w:pPr>
        <w:pStyle w:val="Heading3"/>
      </w:pPr>
      <w:r>
        <w:t xml:space="preserve">b) Ley de Titulización (Decreto Legislativo 776)</w:t>
      </w:r>
    </w:p>
    <w:p>
      <w:pPr>
        <w:spacing w:after="100"/>
      </w:pPr>
      <w:r>
        <w:t xml:space="preserve">Régimen específico para estructuras de activos con patrimonio autónomo:</w:t>
      </w:r>
    </w:p>
    <w:p>
      <w:pPr>
        <w:pStyle w:val="ListParagraph"/>
        <w:numPr>
          <w:ilvl w:val="1"/>
          <w:numId w:val="3"/>
        </w:numPr>
      </w:pPr>
      <w:r>
        <w:t xml:space="preserve">Requiere Sociedad Titulizadora registrada ante SMV</w:t>
      </w:r>
    </w:p>
    <w:p>
      <w:pPr>
        <w:pStyle w:val="ListParagraph"/>
        <w:numPr>
          <w:ilvl w:val="1"/>
          <w:numId w:val="3"/>
        </w:numPr>
      </w:pPr>
      <w:r>
        <w:t xml:space="preserve">Fideicomiso de Titulización o Sociedades de Propósito Especial (SPE)</w:t>
      </w:r>
    </w:p>
    <w:p>
      <w:pPr>
        <w:pStyle w:val="ListParagraph"/>
        <w:numPr>
          <w:ilvl w:val="1"/>
          <w:numId w:val="3"/>
        </w:numPr>
      </w:pPr>
      <w:r>
        <w:t xml:space="preserve">Separación de patrimonios</w:t>
      </w:r>
    </w:p>
    <w:p>
      <w:pPr>
        <w:pStyle w:val="ListParagraph"/>
        <w:numPr>
          <w:ilvl w:val="1"/>
          <w:numId w:val="3"/>
        </w:numPr>
      </w:pPr>
      <w:r>
        <w:t xml:space="preserve">Emisión de valores respaldados por flujos de activos</w:t>
      </w:r>
    </w:p>
    <w:p>
      <w:pPr>
        <w:spacing w:after="150"/>
      </w:pPr>
    </w:p>
    <w:p>
      <w:pPr>
        <w:pStyle w:val="Heading3"/>
      </w:pPr>
      <w:r>
        <w:t xml:space="preserve">c) Crowdfunding Inmobiliario</w:t>
      </w:r>
    </w:p>
    <w:p>
      <w:pPr>
        <w:spacing w:after="100"/>
      </w:pPr>
      <w:r>
        <w:t xml:space="preserve">Resolución SMV 045-2021-SMV/02 regula ofertas públicas pequeñas con menores requisitos:</w:t>
      </w:r>
    </w:p>
    <w:p>
      <w:pPr>
        <w:pStyle w:val="ListParagraph"/>
        <w:numPr>
          <w:ilvl w:val="1"/>
          <w:numId w:val="3"/>
        </w:numPr>
      </w:pPr>
      <w:r>
        <w:t xml:space="preserve">Reducción de requisitos de información</w:t>
      </w:r>
    </w:p>
    <w:p>
      <w:pPr>
        <w:pStyle w:val="ListParagraph"/>
        <w:numPr>
          <w:ilvl w:val="1"/>
          <w:numId w:val="3"/>
        </w:numPr>
      </w:pPr>
      <w:r>
        <w:t xml:space="preserve">Costos regulatorios menores</w:t>
      </w:r>
    </w:p>
    <w:p>
      <w:pPr>
        <w:pStyle w:val="ListParagraph"/>
        <w:numPr>
          <w:ilvl w:val="1"/>
          <w:numId w:val="3"/>
        </w:numPr>
      </w:pPr>
      <w:r>
        <w:t xml:space="preserve">Acceso a inversores minoristas</w:t>
      </w:r>
    </w:p>
    <w:p>
      <w:pPr>
        <w:spacing w:after="200"/>
      </w:pPr>
    </w:p>
    <w:p>
      <w:pPr>
        <w:pStyle w:val="Heading2"/>
      </w:pPr>
      <w:r>
        <w:t xml:space="preserve">7.3 Tributación de criptoactivos</w:t>
      </w:r>
    </w:p>
    <w:p>
      <w:pPr>
        <w:pStyle w:val="ListParagraph"/>
        <w:numPr>
          <w:ilvl w:val="0"/>
          <w:numId w:val="3"/>
        </w:numPr>
      </w:pPr>
      <w:r>
        <w:t xml:space="preserve">Superintendencia Nacional de Aduanas y de Administración Tributaria (SUNAT): Considera activos digitales como bienes intangibles</w:t>
      </w:r>
    </w:p>
    <w:p>
      <w:pPr>
        <w:pStyle w:val="ListParagraph"/>
        <w:numPr>
          <w:ilvl w:val="0"/>
          <w:numId w:val="3"/>
        </w:numPr>
      </w:pPr>
      <w:r>
        <w:t xml:space="preserve">Gravamen: Impuesto sobre la renta cuando se comercializan</w:t>
      </w:r>
    </w:p>
    <w:p>
      <w:pPr>
        <w:pStyle w:val="ListParagraph"/>
        <w:numPr>
          <w:ilvl w:val="0"/>
          <w:numId w:val="3"/>
        </w:numPr>
      </w:pPr>
      <w:r>
        <w:t xml:space="preserve">Limitación: No existe marco integral para exchanges ni stablecoins</w:t>
      </w:r>
    </w:p>
    <w:p>
      <w:pPr>
        <w:spacing w:after="200"/>
      </w:pPr>
    </w:p>
    <w:p>
      <w:pPr>
        <w:pStyle w:val="Heading2"/>
      </w:pPr>
      <w:r>
        <w:t xml:space="preserve">7.4 Prevención de lavado de activos</w:t>
      </w:r>
    </w:p>
    <w:p>
      <w:pPr>
        <w:pStyle w:val="ListParagraph"/>
        <w:numPr>
          <w:ilvl w:val="0"/>
          <w:numId w:val="3"/>
        </w:numPr>
      </w:pPr>
      <w:r>
        <w:t xml:space="preserve">Resolución SMV 006-2025: Nuevos estándares de debida diligencia (KYC/AML) continua</w:t>
      </w:r>
    </w:p>
    <w:p>
      <w:pPr>
        <w:pStyle w:val="ListParagraph"/>
        <w:numPr>
          <w:ilvl w:val="0"/>
          <w:numId w:val="3"/>
        </w:numPr>
      </w:pPr>
      <w:r>
        <w:t xml:space="preserve">Unidad de Inteligencia Financiera (UIF): Supervisa Proveedores de Servicios de Activos Virtuales</w:t>
      </w:r>
    </w:p>
    <w:p>
      <w:pPr>
        <w:pStyle w:val="ListParagraph"/>
        <w:numPr>
          <w:ilvl w:val="0"/>
          <w:numId w:val="3"/>
        </w:numPr>
      </w:pPr>
      <w:r>
        <w:t xml:space="preserve">Requisito: Monitoreo permanente de operaciones, evaluación de riesgo de clientes</w:t>
      </w:r>
    </w:p>
    <w:p>
      <w:pPr>
        <w:spacing w:after="240"/>
      </w:pPr>
    </w:p>
    <w:p>
      <w:pPr>
        <w:pStyle w:val="Heading1"/>
      </w:pPr>
      <w:r>
        <w:t xml:space="preserve">8. Requisitos para operar como empresa de tokenización en Perú</w:t>
      </w:r>
    </w:p>
    <w:p>
      <w:pPr>
        <w:pStyle w:val="Heading2"/>
      </w:pPr>
      <w:r>
        <w:t xml:space="preserve">8.1 Registro y autorización</w:t>
      </w:r>
    </w:p>
    <w:p>
      <w:pPr>
        <w:pStyle w:val="ListParagraph"/>
        <w:numPr>
          <w:ilvl w:val="0"/>
          <w:numId w:val="2"/>
        </w:numPr>
      </w:pPr>
      <w:r>
        <w:t xml:space="preserve">Constitución como Sociedad Anónima (S.A.) en Perú</w:t>
      </w:r>
    </w:p>
    <w:p>
      <w:pPr>
        <w:pStyle w:val="ListParagraph"/>
        <w:numPr>
          <w:ilvl w:val="0"/>
          <w:numId w:val="2"/>
        </w:numPr>
      </w:pPr>
      <w:r>
        <w:t xml:space="preserve">Capital mínimo: Variable según estructura (consultar SMV)</w:t>
      </w:r>
    </w:p>
    <w:p>
      <w:pPr>
        <w:pStyle w:val="ListParagraph"/>
        <w:numPr>
          <w:ilvl w:val="0"/>
          <w:numId w:val="2"/>
        </w:numPr>
      </w:pPr>
      <w:r>
        <w:t xml:space="preserve">Registro ante SMV en categoría de Proveedores de Servicios de Activos Virtuales</w:t>
      </w:r>
    </w:p>
    <w:p>
      <w:pPr>
        <w:pStyle w:val="ListParagraph"/>
        <w:numPr>
          <w:ilvl w:val="0"/>
          <w:numId w:val="2"/>
        </w:numPr>
      </w:pPr>
      <w:r>
        <w:t xml:space="preserve">Solicitud de autorización de oferta pública (si aplica)</w:t>
      </w:r>
    </w:p>
    <w:p>
      <w:pPr>
        <w:pStyle w:val="ListParagraph"/>
        <w:numPr>
          <w:ilvl w:val="0"/>
          <w:numId w:val="2"/>
        </w:numPr>
      </w:pPr>
      <w:r>
        <w:t xml:space="preserve">Inscripción en Registro Público del Mercado de Valores</w:t>
      </w:r>
    </w:p>
    <w:p>
      <w:pPr>
        <w:spacing w:after="200"/>
      </w:pPr>
    </w:p>
    <w:p>
      <w:pPr>
        <w:pStyle w:val="Heading2"/>
      </w:pPr>
      <w:r>
        <w:t xml:space="preserve">8.2 Requerimientos de cumplimiento</w:t>
      </w:r>
    </w:p>
    <w:p>
      <w:pPr>
        <w:pStyle w:val="ListParagraph"/>
        <w:numPr>
          <w:ilvl w:val="0"/>
          <w:numId w:val="3"/>
        </w:numPr>
      </w:pPr>
      <w:r>
        <w:t xml:space="preserve">Programa de Cumplimiento (compliance): SPLAFT (Sistema de Prevención del Lavado de Activos y Financiamiento del Terrorismo)</w:t>
      </w:r>
    </w:p>
    <w:p>
      <w:pPr>
        <w:pStyle w:val="ListParagraph"/>
        <w:numPr>
          <w:ilvl w:val="0"/>
          <w:numId w:val="3"/>
        </w:numPr>
      </w:pPr>
      <w:r>
        <w:t xml:space="preserve">Oficial de Cumplimiento: Designación obligatoria</w:t>
      </w:r>
    </w:p>
    <w:p>
      <w:pPr>
        <w:pStyle w:val="ListParagraph"/>
        <w:numPr>
          <w:ilvl w:val="0"/>
          <w:numId w:val="3"/>
        </w:numPr>
      </w:pPr>
      <w:r>
        <w:t xml:space="preserve">Procedimientos KYC/AML: Verificación continua de clientes</w:t>
      </w:r>
    </w:p>
    <w:p>
      <w:pPr>
        <w:pStyle w:val="ListParagraph"/>
        <w:numPr>
          <w:ilvl w:val="0"/>
          <w:numId w:val="3"/>
        </w:numPr>
      </w:pPr>
      <w:r>
        <w:t xml:space="preserve">Reporte a UIF: Operaciones sospechosas</w:t>
      </w:r>
    </w:p>
    <w:p>
      <w:pPr>
        <w:pStyle w:val="ListParagraph"/>
        <w:numPr>
          <w:ilvl w:val="0"/>
          <w:numId w:val="3"/>
        </w:numPr>
      </w:pPr>
      <w:r>
        <w:t xml:space="preserve">Auditorías externas: Conforme NIIF</w:t>
      </w:r>
    </w:p>
    <w:p>
      <w:pPr>
        <w:pStyle w:val="ListParagraph"/>
        <w:numPr>
          <w:ilvl w:val="0"/>
          <w:numId w:val="3"/>
        </w:numPr>
      </w:pPr>
      <w:r>
        <w:t xml:space="preserve">Política de Gobierno Corporativo: Marco claro de decisiones y transparencia</w:t>
      </w:r>
    </w:p>
    <w:p>
      <w:pPr>
        <w:spacing w:after="200"/>
      </w:pPr>
    </w:p>
    <w:p>
      <w:pPr>
        <w:pStyle w:val="Heading2"/>
      </w:pPr>
      <w:r>
        <w:t xml:space="preserve">8.3 Información y documentación financiera</w:t>
      </w:r>
    </w:p>
    <w:p>
      <w:pPr>
        <w:pStyle w:val="ListParagraph"/>
        <w:numPr>
          <w:ilvl w:val="0"/>
          <w:numId w:val="3"/>
        </w:numPr>
      </w:pPr>
      <w:r>
        <w:t xml:space="preserve">Estados Financieros Auditados: Anual (auditados por firma independiente)</w:t>
      </w:r>
    </w:p>
    <w:p>
      <w:pPr>
        <w:pStyle w:val="ListParagraph"/>
        <w:numPr>
          <w:ilvl w:val="0"/>
          <w:numId w:val="3"/>
        </w:numPr>
      </w:pPr>
      <w:r>
        <w:t xml:space="preserve">Prospecto Informativo: Detalle completo de oferta</w:t>
      </w:r>
    </w:p>
    <w:p>
      <w:pPr>
        <w:pStyle w:val="ListParagraph"/>
        <w:numPr>
          <w:ilvl w:val="0"/>
          <w:numId w:val="3"/>
        </w:numPr>
      </w:pPr>
      <w:r>
        <w:t xml:space="preserve">Clasificación de Riesgo: Por agencia calificadora registrada</w:t>
      </w:r>
    </w:p>
    <w:p>
      <w:pPr>
        <w:pStyle w:val="ListParagraph"/>
        <w:numPr>
          <w:ilvl w:val="0"/>
          <w:numId w:val="3"/>
        </w:numPr>
      </w:pPr>
      <w:r>
        <w:t xml:space="preserve">Informes Mensuales: A SMV (operaciones, usuario, patrimonio)</w:t>
      </w:r>
    </w:p>
    <w:p>
      <w:pPr>
        <w:spacing w:after="200"/>
      </w:pPr>
    </w:p>
    <w:p>
      <w:pPr>
        <w:pStyle w:val="Heading2"/>
      </w:pPr>
      <w:r>
        <w:t xml:space="preserve">8.4 Infraestructura tecnológica y de custodia</w:t>
      </w:r>
    </w:p>
    <w:p>
      <w:pPr>
        <w:pStyle w:val="ListParagraph"/>
        <w:numPr>
          <w:ilvl w:val="0"/>
          <w:numId w:val="3"/>
        </w:numPr>
      </w:pPr>
      <w:r>
        <w:t xml:space="preserve">Plataforma blockchain: Ethereum (estándar ERC-3643) u otra autorizada</w:t>
      </w:r>
    </w:p>
    <w:p>
      <w:pPr>
        <w:pStyle w:val="ListParagraph"/>
        <w:numPr>
          <w:ilvl w:val="0"/>
          <w:numId w:val="3"/>
        </w:numPr>
      </w:pPr>
      <w:r>
        <w:t xml:space="preserve">Smart contracts: Auditados por firmas especializadas</w:t>
      </w:r>
    </w:p>
    <w:p>
      <w:pPr>
        <w:pStyle w:val="ListParagraph"/>
        <w:numPr>
          <w:ilvl w:val="0"/>
          <w:numId w:val="3"/>
        </w:numPr>
      </w:pPr>
      <w:r>
        <w:t xml:space="preserve">Custodia de activos: Mediante Sociedad Custodia registrada ante SMV</w:t>
      </w:r>
    </w:p>
    <w:p>
      <w:pPr>
        <w:pStyle w:val="ListParagraph"/>
        <w:numPr>
          <w:ilvl w:val="0"/>
          <w:numId w:val="3"/>
        </w:numPr>
      </w:pPr>
      <w:r>
        <w:t xml:space="preserve">Seguridad informática: Estándares internacionales (ISO 27001)</w:t>
      </w:r>
    </w:p>
    <w:p>
      <w:pPr>
        <w:pStyle w:val="ListParagraph"/>
        <w:numPr>
          <w:ilvl w:val="0"/>
          <w:numId w:val="3"/>
        </w:numPr>
      </w:pPr>
      <w:r>
        <w:t xml:space="preserve">Seguros de ciberseguridad: Cobertura de riesgos digitales</w:t>
      </w:r>
    </w:p>
    <w:p>
      <w:pPr>
        <w:spacing w:after="200"/>
      </w:pPr>
    </w:p>
    <w:p>
      <w:pPr>
        <w:pStyle w:val="Heading2"/>
      </w:pPr>
      <w:r>
        <w:t xml:space="preserve">8.5 Estructura legal de activos</w:t>
      </w:r>
    </w:p>
    <w:p>
      <w:pPr>
        <w:pStyle w:val="ListParagraph"/>
        <w:numPr>
          <w:ilvl w:val="0"/>
          <w:numId w:val="3"/>
        </w:numPr>
      </w:pPr>
      <w:r>
        <w:t xml:space="preserve">Fideicomiso de Titulización: Para separación de patrimonios</w:t>
      </w:r>
    </w:p>
    <w:p>
      <w:pPr>
        <w:pStyle w:val="ListParagraph"/>
        <w:numPr>
          <w:ilvl w:val="0"/>
          <w:numId w:val="3"/>
        </w:numPr>
      </w:pPr>
      <w:r>
        <w:t xml:space="preserve">Sociedad de Propósito Especial (SPE): Para estructuras más complejas</w:t>
      </w:r>
    </w:p>
    <w:p>
      <w:pPr>
        <w:pStyle w:val="ListParagraph"/>
        <w:numPr>
          <w:ilvl w:val="0"/>
          <w:numId w:val="3"/>
        </w:numPr>
      </w:pPr>
      <w:r>
        <w:t xml:space="preserve">Registro de Activos: Documentación clara de titularidad y derechos</w:t>
      </w:r>
    </w:p>
    <w:p>
      <w:pPr>
        <w:spacing w:after="200"/>
      </w:pPr>
    </w:p>
    <w:p>
      <w:pPr>
        <w:pStyle w:val="Heading2"/>
      </w:pPr>
      <w:r>
        <w:t xml:space="preserve">8.6 Costos estimados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Costo estimado (USD)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Constitución legal y registros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5,000 - 15,000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Asesoría legal (SMV, cumplimiento)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20,000 - 50,000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Desarrollo plataforma blockchain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50,000 - 200,000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Auditoría smart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10,000 - 50,000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Prospecto informativo y clasificación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15,000 - 40,000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Seguros y seguridad cibernética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5,000 - 15,000 (anual)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inversión inicial (12 meses)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USD 120,000 - 385,000</w:t>
            </w:r>
          </w:p>
        </w:tc>
      </w:tr>
    </w:tbl>
    <w:p>
      <w:pPr>
        <w:spacing w:after="240"/>
      </w:pPr>
    </w:p>
    <w:r>
      <w:br w:type="page"/>
    </w:r>
    <w:p>
      <w:pPr>
        <w:pStyle w:val="Heading1"/>
      </w:pPr>
      <w:r>
        <w:t xml:space="preserve">9. Conclusiones y recomendaciones</w:t>
      </w:r>
    </w:p>
    <w:p>
      <w:pPr>
        <w:pStyle w:val="Heading2"/>
      </w:pPr>
      <w:r>
        <w:t xml:space="preserve">9.1 Contexto de oportunidad</w:t>
      </w:r>
    </w:p>
    <w:p>
      <w:pPr>
        <w:pStyle w:val="ListParagraph"/>
        <w:numPr>
          <w:ilvl w:val="0"/>
          <w:numId w:val="3"/>
        </w:numPr>
      </w:pPr>
      <w:r>
        <w:t xml:space="preserve">Mercado global: Crecimiento de 18.3% CAGR hasta 2032, pasando de USD 3.32B a USD 12.83B</w:t>
      </w:r>
    </w:p>
    <w:p>
      <w:pPr>
        <w:pStyle w:val="ListParagraph"/>
        <w:numPr>
          <w:ilvl w:val="0"/>
          <w:numId w:val="3"/>
        </w:numPr>
      </w:pPr>
      <w:r>
        <w:t xml:space="preserve">Latinoamérica: Adopción acelerada (17-32% anual) impulsada por inflación, restricciones cambiarias y baja bancarización</w:t>
      </w:r>
    </w:p>
    <w:p>
      <w:pPr>
        <w:pStyle w:val="ListParagraph"/>
        <w:numPr>
          <w:ilvl w:val="0"/>
          <w:numId w:val="3"/>
        </w:numPr>
      </w:pPr>
      <w:r>
        <w:t xml:space="preserve">Brasil lidera la región: USD 318.8B en transacciones cripto 2024-2025, 5º lugar mundial en tokenización RWA</w:t>
      </w:r>
    </w:p>
    <w:p>
      <w:pPr>
        <w:pStyle w:val="ListParagraph"/>
        <w:numPr>
          <w:ilvl w:val="0"/>
          <w:numId w:val="3"/>
        </w:numPr>
      </w:pPr>
      <w:r>
        <w:t xml:space="preserve">Infraestructura madura: Estándares claros (ERC-3643), plataformas reguladas, participación institucional</w:t>
      </w:r>
    </w:p>
    <w:p>
      <w:pPr>
        <w:spacing w:after="200"/>
      </w:pPr>
    </w:p>
    <w:p>
      <w:pPr>
        <w:pStyle w:val="Heading2"/>
      </w:pPr>
      <w:r>
        <w:t xml:space="preserve">9.2 Posición de Perú</w:t>
      </w:r>
    </w:p>
    <w:p>
      <w:pPr>
        <w:pStyle w:val="ListParagraph"/>
        <w:numPr>
          <w:ilvl w:val="0"/>
          <w:numId w:val="3"/>
        </w:numPr>
      </w:pPr>
      <w:r>
        <w:t xml:space="preserve">Ventaja: Ecosistema cripto activo, mercado P2P dinámico, base de inversores interesados</w:t>
      </w:r>
    </w:p>
    <w:p>
      <w:pPr>
        <w:pStyle w:val="ListParagraph"/>
        <w:numPr>
          <w:ilvl w:val="0"/>
          <w:numId w:val="3"/>
        </w:numPr>
      </w:pPr>
      <w:r>
        <w:t xml:space="preserve">Desafío: Ausencia de regulación específica para tokenización (proyecto ley aún sin aprobar)</w:t>
      </w:r>
    </w:p>
    <w:p>
      <w:pPr>
        <w:pStyle w:val="ListParagraph"/>
        <w:numPr>
          <w:ilvl w:val="0"/>
          <w:numId w:val="3"/>
        </w:numPr>
      </w:pPr>
      <w:r>
        <w:t xml:space="preserve">Oportunidad: Marco legal existente (LMV, Titulización, Crowdfunding) permite operación bajo supervisión SMV</w:t>
      </w:r>
    </w:p>
    <w:p>
      <w:pPr>
        <w:pStyle w:val="ListParagraph"/>
        <w:numPr>
          <w:ilvl w:val="0"/>
          <w:numId w:val="3"/>
        </w:numPr>
      </w:pPr>
      <w:r>
        <w:t xml:space="preserve">Potencial: Sector inmobiliario, deuda corporativa, facturas y activos intangibles</w:t>
      </w:r>
    </w:p>
    <w:p>
      <w:pPr>
        <w:spacing w:after="200"/>
      </w:pPr>
    </w:p>
    <w:p>
      <w:pPr>
        <w:pStyle w:val="Heading2"/>
      </w:pPr>
      <w:r>
        <w:t xml:space="preserve">9.3 Empresas referentes para benchmarking</w:t>
      </w:r>
    </w:p>
    <w:p>
      <w:pPr>
        <w:pStyle w:val="ListParagraph"/>
        <w:numPr>
          <w:ilvl w:val="0"/>
          <w:numId w:val="3"/>
        </w:numPr>
      </w:pPr>
      <w:r>
        <w:t xml:space="preserve">Reental: Modelo probado en 6 países, USD 80M tokenizados, rentabilidad 8-15%</w:t>
      </w:r>
    </w:p>
    <w:p>
      <w:pPr>
        <w:pStyle w:val="ListParagraph"/>
        <w:numPr>
          <w:ilvl w:val="0"/>
          <w:numId w:val="3"/>
        </w:numPr>
      </w:pPr>
      <w:r>
        <w:t xml:space="preserve">Mercado Bitcoin (Brasil): Infraestructura escalada, 4.2M usuarios, posición global en RWA</w:t>
      </w:r>
    </w:p>
    <w:p>
      <w:pPr>
        <w:pStyle w:val="ListParagraph"/>
        <w:numPr>
          <w:ilvl w:val="0"/>
          <w:numId w:val="3"/>
        </w:numPr>
      </w:pPr>
      <w:r>
        <w:t xml:space="preserve">RealT: Modelo minorista accesible, fraccionalización desde USD 50, presencia en principales ciudades EE.UU.</w:t>
      </w:r>
    </w:p>
    <w:p>
      <w:pPr>
        <w:spacing w:after="200"/>
      </w:pPr>
    </w:p>
    <w:p>
      <w:pPr>
        <w:pStyle w:val="Heading2"/>
      </w:pPr>
      <w:r>
        <w:t xml:space="preserve">9.4 Sectores prioritarios para Perú</w:t>
      </w:r>
    </w:p>
    <w:p>
      <w:pPr>
        <w:pStyle w:val="ListParagraph"/>
        <w:numPr>
          <w:ilvl w:val="0"/>
          <w:numId w:val="3"/>
        </w:numPr>
      </w:pPr>
      <w:r>
        <w:t xml:space="preserve">1. Inmobiliario (máxima prioridad): Demanda alta, activo grande, baja liquidez actual</w:t>
      </w:r>
    </w:p>
    <w:p>
      <w:pPr>
        <w:pStyle w:val="ListParagraph"/>
        <w:numPr>
          <w:ilvl w:val="0"/>
          <w:numId w:val="3"/>
        </w:numPr>
      </w:pPr>
      <w:r>
        <w:t xml:space="preserve">2. Turístico/hotelero: Ingresos predecibles, acceso global, margen de rentabilidad atractivo</w:t>
      </w:r>
    </w:p>
    <w:p>
      <w:pPr>
        <w:pStyle w:val="ListParagraph"/>
        <w:numPr>
          <w:ilvl w:val="0"/>
          <w:numId w:val="3"/>
        </w:numPr>
      </w:pPr>
      <w:r>
        <w:t xml:space="preserve">3. Deuda corporativa/facturas: Impacto en PYMEs, reducción de costos de financiamiento</w:t>
      </w:r>
    </w:p>
    <w:p>
      <w:pPr>
        <w:pStyle w:val="ListParagraph"/>
        <w:numPr>
          <w:ilvl w:val="0"/>
          <w:numId w:val="3"/>
        </w:numPr>
      </w:pPr>
      <w:r>
        <w:t xml:space="preserve">4. Intangibles: Derechos mineros, royalties, propiedad intelectual</w:t>
      </w:r>
    </w:p>
    <w:p>
      <w:pPr>
        <w:spacing w:after="200"/>
      </w:pPr>
    </w:p>
    <w:p>
      <w:pPr>
        <w:pStyle w:val="Heading2"/>
      </w:pPr>
      <w:r>
        <w:t xml:space="preserve">9.5 Recomendaciones para empresas de tokenización</w:t>
      </w:r>
    </w:p>
    <w:p>
      <w:pPr>
        <w:pStyle w:val="ListParagraph"/>
        <w:numPr>
          <w:ilvl w:val="0"/>
          <w:numId w:val="3"/>
        </w:numPr>
      </w:pPr>
      <w:r>
        <w:t xml:space="preserve">Cumplimiento regulatorio: Optar por estructura de Crowdfunding o Titulización bajo SMV para reducir costos iniciales</w:t>
      </w:r>
    </w:p>
    <w:p>
      <w:pPr>
        <w:pStyle w:val="ListParagraph"/>
        <w:numPr>
          <w:ilvl w:val="0"/>
          <w:numId w:val="3"/>
        </w:numPr>
      </w:pPr>
      <w:r>
        <w:t xml:space="preserve">Auditoría técnica: Smart contracts auditados por firmas especializadas (costo: USD 10-50K)</w:t>
      </w:r>
    </w:p>
    <w:p>
      <w:pPr>
        <w:pStyle w:val="ListParagraph"/>
        <w:numPr>
          <w:ilvl w:val="0"/>
          <w:numId w:val="3"/>
        </w:numPr>
      </w:pPr>
      <w:r>
        <w:t xml:space="preserve">Custodia segura: Partnering con Sociedad de Custodia registrada ante SMV</w:t>
      </w:r>
    </w:p>
    <w:p>
      <w:pPr>
        <w:pStyle w:val="ListParagraph"/>
        <w:numPr>
          <w:ilvl w:val="0"/>
          <w:numId w:val="3"/>
        </w:numPr>
      </w:pPr>
      <w:r>
        <w:t xml:space="preserve">Transparencia de datos: Reportes mensuales a SMV, comunicación clara a inversores</w:t>
      </w:r>
    </w:p>
    <w:p>
      <w:pPr>
        <w:pStyle w:val="ListParagraph"/>
        <w:numPr>
          <w:ilvl w:val="0"/>
          <w:numId w:val="3"/>
        </w:numPr>
      </w:pPr>
      <w:r>
        <w:t xml:space="preserve">Educación: Invertir en divulgación del modelo a inversores minoristas</w:t>
      </w:r>
    </w:p>
    <w:p>
      <w:pPr>
        <w:pStyle w:val="ListParagraph"/>
        <w:numPr>
          <w:ilvl w:val="0"/>
          <w:numId w:val="3"/>
        </w:numPr>
      </w:pPr>
      <w:r>
        <w:t xml:space="preserve">Liquidez secundaria: Desarrollar mercados secundarios P2P para mayor atractivo</w:t>
      </w:r>
    </w:p>
    <w:p>
      <w:pPr>
        <w:spacing w:after="200"/>
      </w:pPr>
    </w:p>
    <w:p>
      <w:pPr>
        <w:pStyle w:val="Heading2"/>
      </w:pPr>
      <w:r>
        <w:t xml:space="preserve">9.6 Timeline esperado</w:t>
      </w:r>
    </w:p>
    <w:p>
      <w:pPr>
        <w:pStyle w:val="ListParagraph"/>
        <w:numPr>
          <w:ilvl w:val="0"/>
          <w:numId w:val="2"/>
        </w:numPr>
      </w:pPr>
      <w:r>
        <w:t xml:space="preserve">Meses 1-3: Constitución legal, registros (SMV, tributarios)</w:t>
      </w:r>
    </w:p>
    <w:p>
      <w:pPr>
        <w:pStyle w:val="ListParagraph"/>
        <w:numPr>
          <w:ilvl w:val="0"/>
          <w:numId w:val="2"/>
        </w:numPr>
      </w:pPr>
      <w:r>
        <w:t xml:space="preserve">Meses 3-6: Desarrollo plataforma, auditorías de smart contracts</w:t>
      </w:r>
    </w:p>
    <w:p>
      <w:pPr>
        <w:pStyle w:val="ListParagraph"/>
        <w:numPr>
          <w:ilvl w:val="0"/>
          <w:numId w:val="2"/>
        </w:numPr>
      </w:pPr>
      <w:r>
        <w:t xml:space="preserve">Meses 6-9: Preparación prospecto, solicitud de autorización SMV</w:t>
      </w:r>
    </w:p>
    <w:p>
      <w:pPr>
        <w:pStyle w:val="ListParagraph"/>
        <w:numPr>
          <w:ilvl w:val="0"/>
          <w:numId w:val="2"/>
        </w:numPr>
      </w:pPr>
      <w:r>
        <w:t xml:space="preserve">Meses 9-12: Aprobación SMV, lanzamiento de primer activo tokenizado</w:t>
      </w:r>
    </w:p>
    <w:p>
      <w:pPr>
        <w:pStyle w:val="ListParagraph"/>
        <w:numPr>
          <w:ilvl w:val="0"/>
          <w:numId w:val="2"/>
        </w:numPr>
      </w:pPr>
      <w:r>
        <w:t xml:space="preserve">Año 2+: Escalamiento de cartera, diversificación de sectores</w:t>
      </w:r>
    </w:p>
    <w:p>
      <w:pPr>
        <w:spacing w:after="200"/>
      </w:pPr>
    </w:p>
    <w:p>
      <w:pPr>
        <w:spacing w:after="240"/>
      </w:pPr>
      <w:r>
        <w:t xml:space="preserve">Este análisis demuestra que la tokenización de activos en Perú es viable, aprovechando un marco legal existente y un mercado con creciente demanda por soluciones de inversión alternativas. El éxito dependerá del rigor regulatorio, transparencia operacional y capacidad de generar retornos atractivos para inversores.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t xml:space="preserve">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4d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2026-03-29T19:05:51.864Z</dcterms:created>
  <dcterms:modified xsi:type="dcterms:W3CDTF">2026-03-29T19:05:51.865Z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