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before="1200"/>
      </w:pPr>
      <w:r>
        <w:t xml:space="preserve"/>
      </w:r>
    </w:p>
    <w:p>
      <w:pPr>
        <w:spacing w:after="100" w:before="400"/>
        <w:jc w:val="center"/>
      </w:pPr>
      <w:r>
        <w:rPr>
          <w:b/>
          <w:bCs/>
          <w:color w:val="1B2B4E"/>
          <w:sz w:val="60"/>
          <w:szCs w:val="60"/>
        </w:rPr>
        <w:t xml:space="preserve">NeoTokens</w:t>
      </w:r>
    </w:p>
    <w:p>
      <w:pPr>
        <w:spacing w:after="600"/>
        <w:jc w:val="center"/>
      </w:pPr>
      <w:r>
        <w:rPr>
          <w:color w:val="D4AF37"/>
          <w:sz w:val="32"/>
          <w:szCs w:val="32"/>
        </w:rPr>
        <w:t xml:space="preserve">Democratizing Investment</w:t>
      </w:r>
    </w:p>
    <w:p>
      <w:pPr>
        <w:spacing w:after="200" w:before="800"/>
        <w:jc w:val="center"/>
      </w:pPr>
      <w:r>
        <w:rPr>
          <w:color w:val="4A4A4A"/>
          <w:sz w:val="28"/>
          <w:szCs w:val="28"/>
        </w:rPr>
        <w:t xml:space="preserve">Propuesta Comercial</w:t>
      </w:r>
    </w:p>
    <w:p>
      <w:pPr>
        <w:spacing w:after="400"/>
        <w:jc w:val="center"/>
      </w:pPr>
      <w:r>
        <w:rPr>
          <w:color w:val="4A4A4A"/>
          <w:sz w:val="24"/>
          <w:szCs w:val="24"/>
        </w:rPr>
        <w:t xml:space="preserve">Tokenización de Activos Tangibles e Intangibles</w:t>
      </w:r>
    </w:p>
    <w:p>
      <w:pPr>
        <w:spacing w:before="800"/>
        <w:jc w:val="center"/>
      </w:pPr>
      <w:r>
        <w:rPr>
          <w:color w:val="4A4A4A"/>
          <w:sz w:val="22"/>
          <w:szCs w:val="22"/>
        </w:rPr>
        <w:t xml:space="preserve">Marzo de 2026</w:t>
      </w:r>
    </w:p>
    <w:r>
      <w:br w:type="page"/>
    </w:r>
    <w:p>
      <w:pPr>
        <w:pStyle w:val="Heading1"/>
      </w:pPr>
      <w:r>
        <w:t xml:space="preserve">Tabla de Contenidos</w:t>
      </w:r>
    </w:p>
    <w:p>
      <w:pPr>
        <w:pStyle w:val="ListParagraph"/>
        <w:numPr>
          <w:ilvl w:val="0"/>
          <w:numId w:val="2"/>
        </w:numPr>
      </w:pPr>
      <w:r>
        <w:t xml:space="preserve">1. El Problema</w:t>
      </w:r>
    </w:p>
    <w:p>
      <w:pPr>
        <w:pStyle w:val="ListParagraph"/>
        <w:numPr>
          <w:ilvl w:val="0"/>
          <w:numId w:val="2"/>
        </w:numPr>
      </w:pPr>
      <w:r>
        <w:t xml:space="preserve">2. La Solución</w:t>
      </w:r>
    </w:p>
    <w:p>
      <w:pPr>
        <w:pStyle w:val="ListParagraph"/>
        <w:numPr>
          <w:ilvl w:val="0"/>
          <w:numId w:val="2"/>
        </w:numPr>
      </w:pPr>
      <w:r>
        <w:t xml:space="preserve">3. Modelo de Negocio</w:t>
      </w:r>
    </w:p>
    <w:p>
      <w:pPr>
        <w:pStyle w:val="ListParagraph"/>
        <w:numPr>
          <w:ilvl w:val="0"/>
          <w:numId w:val="2"/>
        </w:numPr>
      </w:pPr>
      <w:r>
        <w:t xml:space="preserve">4. Casos de Uso</w:t>
      </w:r>
    </w:p>
    <w:p>
      <w:pPr>
        <w:pStyle w:val="ListParagraph"/>
        <w:numPr>
          <w:ilvl w:val="0"/>
          <w:numId w:val="2"/>
        </w:numPr>
      </w:pPr>
      <w:r>
        <w:t xml:space="preserve">5. Tracción &amp; Mercado</w:t>
      </w:r>
    </w:p>
    <w:p>
      <w:pPr>
        <w:pStyle w:val="ListParagraph"/>
        <w:numPr>
          <w:ilvl w:val="0"/>
          <w:numId w:val="2"/>
        </w:numPr>
      </w:pPr>
      <w:r>
        <w:t xml:space="preserve">6. Financiamiento</w:t>
      </w:r>
    </w:p>
    <w:p>
      <w:pPr>
        <w:pStyle w:val="ListParagraph"/>
        <w:numPr>
          <w:ilvl w:val="0"/>
          <w:numId w:val="2"/>
        </w:numPr>
      </w:pPr>
      <w:r>
        <w:t xml:space="preserve">7. Roadmap de Comercialización</w:t>
      </w:r>
    </w:p>
    <w:p>
      <w:pPr>
        <w:pStyle w:val="ListParagraph"/>
        <w:numPr>
          <w:ilvl w:val="0"/>
          <w:numId w:val="2"/>
        </w:numPr>
      </w:pPr>
      <w:r>
        <w:t xml:space="preserve">8. Business Model Canvas</w:t>
      </w:r>
    </w:p>
    <w:p>
      <w:pPr>
        <w:pStyle w:val="ListParagraph"/>
        <w:numPr>
          <w:ilvl w:val="0"/>
          <w:numId w:val="2"/>
        </w:numPr>
      </w:pPr>
      <w:r>
        <w:t xml:space="preserve">9. Próximos Pasos</w:t>
      </w:r>
    </w:p>
    <w:r>
      <w:br w:type="page"/>
    </w:r>
    <w:p>
      <w:pPr>
        <w:pStyle w:val="Heading1"/>
      </w:pPr>
      <w:r>
        <w:t xml:space="preserve">1. El Problema</w:t>
      </w:r>
    </w:p>
    <w:p>
      <w:r>
        <w:t xml:space="preserve">La inversión tradicional enfrenta barreras significativas que excluyen a la mayoría de los pequeños y medianos inversionistas:</w:t>
      </w:r>
    </w:p>
    <w:p>
      <w:pPr>
        <w:pStyle w:val="Heading2"/>
      </w:pPr>
      <w:r>
        <w:t xml:space="preserve">Ineficiencia del Sistema Tradicional</w:t>
      </w:r>
    </w:p>
    <w:p>
      <w:pPr>
        <w:pStyle w:val="ListParagraph"/>
        <w:numPr>
          <w:ilvl w:val="0"/>
          <w:numId w:val="2"/>
        </w:numPr>
      </w:pPr>
      <w:r>
        <w:t xml:space="preserve">Acceso limitado: inversión mínima de USD 10,000 a USD 100,000 en proyectos inmobiliarios</w:t>
      </w:r>
    </w:p>
    <w:p>
      <w:pPr>
        <w:pStyle w:val="ListParagraph"/>
        <w:numPr>
          <w:ilvl w:val="0"/>
          <w:numId w:val="2"/>
        </w:numPr>
      </w:pPr>
      <w:r>
        <w:t xml:space="preserve">Procesos lentos: entre 6 a 18 meses para completar una transacción</w:t>
      </w:r>
    </w:p>
    <w:p>
      <w:pPr>
        <w:pStyle w:val="ListParagraph"/>
        <w:numPr>
          <w:ilvl w:val="0"/>
          <w:numId w:val="2"/>
        </w:numPr>
      </w:pPr>
      <w:r>
        <w:t xml:space="preserve">Costos altos: comisiones de intermediarios, abogados y asesores entre 3% a 8% del capital</w:t>
      </w:r>
    </w:p>
    <w:p>
      <w:pPr>
        <w:pStyle w:val="ListParagraph"/>
        <w:numPr>
          <w:ilvl w:val="0"/>
          <w:numId w:val="2"/>
        </w:numPr>
      </w:pPr>
      <w:r>
        <w:t xml:space="preserve">Falta de transparencia: dificultad para verificar el estado real del activo</w:t>
      </w:r>
    </w:p>
    <w:p>
      <w:pPr>
        <w:pStyle w:val="Heading2"/>
      </w:pPr>
      <w:r>
        <w:t xml:space="preserve">Barreras de Acceso</w:t>
      </w:r>
    </w:p>
    <w:p>
      <w:pPr>
        <w:pStyle w:val="ListParagraph"/>
        <w:numPr>
          <w:ilvl w:val="0"/>
          <w:numId w:val="2"/>
        </w:numPr>
      </w:pPr>
      <w:r>
        <w:t xml:space="preserve">Solo 5% de la población tiene acceso a inversiones inmobiliarias profesionales</w:t>
      </w:r>
    </w:p>
    <w:p>
      <w:pPr>
        <w:pStyle w:val="ListParagraph"/>
        <w:numPr>
          <w:ilvl w:val="0"/>
          <w:numId w:val="2"/>
        </w:numPr>
      </w:pPr>
      <w:r>
        <w:t xml:space="preserve">Patentes universitarias permanecen sin financiar: 40% de patentes nunca se licencian</w:t>
      </w:r>
    </w:p>
    <w:p>
      <w:pPr>
        <w:pStyle w:val="ListParagraph"/>
        <w:numPr>
          <w:ilvl w:val="0"/>
          <w:numId w:val="2"/>
        </w:numPr>
      </w:pPr>
      <w:r>
        <w:t xml:space="preserve">Pequeños inversionistas quedan fuera del mercado de innovación</w:t>
      </w:r>
    </w:p>
    <w:p>
      <w:pPr>
        <w:pStyle w:val="Heading2"/>
      </w:pPr>
      <w:r>
        <w:t xml:space="preserve">Falta de Liquidez</w:t>
      </w:r>
    </w:p>
    <w:p>
      <w:pPr>
        <w:pStyle w:val="ListParagraph"/>
        <w:numPr>
          <w:ilvl w:val="0"/>
          <w:numId w:val="2"/>
        </w:numPr>
      </w:pPr>
      <w:r>
        <w:t xml:space="preserve">Inversiones inmobiliarias ilíquidas: no se puede vender fácilmente</w:t>
      </w:r>
    </w:p>
    <w:p>
      <w:pPr>
        <w:pStyle w:val="ListParagraph"/>
        <w:numPr>
          <w:ilvl w:val="0"/>
          <w:numId w:val="2"/>
        </w:numPr>
      </w:pPr>
      <w:r>
        <w:t xml:space="preserve">Patentes bloqueadas: requieren años para generar retornos</w:t>
      </w:r>
    </w:p>
    <w:p>
      <w:pPr>
        <w:pStyle w:val="ListParagraph"/>
        <w:numPr>
          <w:ilvl w:val="0"/>
          <w:numId w:val="2"/>
        </w:numPr>
      </w:pPr>
      <w:r>
        <w:t xml:space="preserve">Insuficiente mercado secundario para activos alternativos</w:t>
      </w:r>
    </w:p>
    <w:r>
      <w:br w:type="page"/>
    </w:r>
    <w:p>
      <w:pPr>
        <w:pStyle w:val="Heading1"/>
      </w:pPr>
      <w:r>
        <w:t xml:space="preserve">2. La Solución</w:t>
      </w:r>
    </w:p>
    <w:p>
      <w:r>
        <w:t xml:space="preserve">NeoTokens democratiza la inversión mediante la tokenización blockchain de activos tangibles e intangibles, permitiendo que cualquier persona invierta desde USD 100.</w:t>
      </w:r>
    </w:p>
    <w:p>
      <w:pPr>
        <w:pStyle w:val="Heading2"/>
      </w:pPr>
      <w:r>
        <w:t xml:space="preserve">Cómo Funciona</w:t>
      </w:r>
    </w:p>
    <w:p>
      <w:pPr>
        <w:pStyle w:val="ListParagraph"/>
        <w:numPr>
          <w:ilvl w:val="0"/>
          <w:numId w:val="2"/>
        </w:numPr>
      </w:pPr>
      <w:r>
        <w:t xml:space="preserve">Activo físico (inmueble, patente): se valida y se estructura legalmente</w:t>
      </w:r>
    </w:p>
    <w:p>
      <w:pPr>
        <w:pStyle w:val="ListParagraph"/>
        <w:numPr>
          <w:ilvl w:val="0"/>
          <w:numId w:val="2"/>
        </w:numPr>
      </w:pPr>
      <w:r>
        <w:t xml:space="preserve">Digitalización en blockchain: se emite un token ERC-3643 (Security Token)</w:t>
      </w:r>
    </w:p>
    <w:p>
      <w:pPr>
        <w:pStyle w:val="ListParagraph"/>
        <w:numPr>
          <w:ilvl w:val="0"/>
          <w:numId w:val="2"/>
        </w:numPr>
      </w:pPr>
      <w:r>
        <w:t xml:space="preserve">Venta fraccionada: se divide en miles de tokens pequeños</w:t>
      </w:r>
    </w:p>
    <w:p>
      <w:pPr>
        <w:pStyle w:val="ListParagraph"/>
        <w:numPr>
          <w:ilvl w:val="0"/>
          <w:numId w:val="2"/>
        </w:numPr>
      </w:pPr>
      <w:r>
        <w:t xml:space="preserve">Inversión mínima: cualquiera puede comprar desde USD 100</w:t>
      </w:r>
    </w:p>
    <w:p>
      <w:pPr>
        <w:pStyle w:val="ListParagraph"/>
        <w:numPr>
          <w:ilvl w:val="0"/>
          <w:numId w:val="2"/>
        </w:numPr>
      </w:pPr>
      <w:r>
        <w:t xml:space="preserve">Distribución automática: royalties y dividendos pagados automáticamente vía smart contract</w:t>
      </w:r>
    </w:p>
    <w:p>
      <w:pPr>
        <w:pStyle w:val="ListParagraph"/>
        <w:numPr>
          <w:ilvl w:val="0"/>
          <w:numId w:val="2"/>
        </w:numPr>
      </w:pPr>
      <w:r>
        <w:t xml:space="preserve">Liquidez 24/7: venta de tokens en mercado secundario en cualquier momento</w:t>
      </w:r>
    </w:p>
    <w:p>
      <w:pPr>
        <w:pStyle w:val="Heading2"/>
      </w:pPr>
      <w:r>
        <w:t xml:space="preserve">Ventajas</w:t>
      </w:r>
    </w:p>
    <w:p>
      <w:pPr>
        <w:pStyle w:val="ListParagraph"/>
        <w:numPr>
          <w:ilvl w:val="0"/>
          <w:numId w:val="2"/>
        </w:numPr>
      </w:pPr>
      <w:r>
        <w:t xml:space="preserve">Accesibilidad: inversión desde USD 100 (vs USD 10,000+ tradicional)</w:t>
      </w:r>
    </w:p>
    <w:p>
      <w:pPr>
        <w:pStyle w:val="ListParagraph"/>
        <w:numPr>
          <w:ilvl w:val="0"/>
          <w:numId w:val="2"/>
        </w:numPr>
      </w:pPr>
      <w:r>
        <w:t xml:space="preserve">Velocidad: go-live en 3 meses (vs 6-18 meses tradicional)</w:t>
      </w:r>
    </w:p>
    <w:p>
      <w:pPr>
        <w:pStyle w:val="ListParagraph"/>
        <w:numPr>
          <w:ilvl w:val="0"/>
          <w:numId w:val="2"/>
        </w:numPr>
      </w:pPr>
      <w:r>
        <w:t xml:space="preserve">Transparencia: verificación 100% en blockchain</w:t>
      </w:r>
    </w:p>
    <w:p>
      <w:pPr>
        <w:pStyle w:val="ListParagraph"/>
        <w:numPr>
          <w:ilvl w:val="0"/>
          <w:numId w:val="2"/>
        </w:numPr>
      </w:pPr>
      <w:r>
        <w:t xml:space="preserve">Liquidez: compra y venta 24/7 en marketplace</w:t>
      </w:r>
    </w:p>
    <w:p>
      <w:pPr>
        <w:pStyle w:val="ListParagraph"/>
        <w:numPr>
          <w:ilvl w:val="0"/>
          <w:numId w:val="2"/>
        </w:numPr>
      </w:pPr>
      <w:r>
        <w:t xml:space="preserve">Menor costo: comisiones de 2-3% (vs 5-8% tradicional)</w:t>
      </w:r>
    </w:p>
    <w:r>
      <w:br w:type="page"/>
    </w:r>
    <w:p>
      <w:pPr>
        <w:pStyle w:val="Heading1"/>
      </w:pPr>
      <w:r>
        <w:t xml:space="preserve">3. Modelo de Negocio</w:t>
      </w:r>
    </w:p>
    <w:p>
      <w:pPr>
        <w:pStyle w:val="Heading2"/>
      </w:pPr>
      <w:r>
        <w:t xml:space="preserve">Flujo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Flujo de Ingresos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Comisión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Comisión de Tokenización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 capital levantado en presale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Comisión de 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cada transacción secundaria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Comisión de Custodia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0.5%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 AUM (Assets Under Management)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Proyección de Ingresos</w:t>
      </w:r>
    </w:p>
    <w:p>
      <w:r>
        <w:t xml:space="preserve">Escenario realista para primeros 5 años:</w:t>
      </w:r>
    </w:p>
    <w:p>
      <w:pPr>
        <w:pStyle w:val="ListParagraph"/>
        <w:numPr>
          <w:ilvl w:val="0"/>
          <w:numId w:val="2"/>
        </w:numPr>
      </w:pPr>
      <w:r>
        <w:t xml:space="preserve">Año 1: USD 150,000 (2 proyectos tokenizados, USD 5M levantados)</w:t>
      </w:r>
    </w:p>
    <w:p>
      <w:pPr>
        <w:pStyle w:val="ListParagraph"/>
        <w:numPr>
          <w:ilvl w:val="0"/>
          <w:numId w:val="2"/>
        </w:numPr>
      </w:pPr>
      <w:r>
        <w:t xml:space="preserve">Año 2: USD 450,000 (6 proyectos, USD 15M levantados, AUM USD 50M)</w:t>
      </w:r>
    </w:p>
    <w:p>
      <w:pPr>
        <w:pStyle w:val="ListParagraph"/>
        <w:numPr>
          <w:ilvl w:val="0"/>
          <w:numId w:val="2"/>
        </w:numPr>
      </w:pPr>
      <w:r>
        <w:t xml:space="preserve">Año 3: USD 1.2M (15 proyectos, USD 40M levantados, AUM USD 150M)</w:t>
      </w:r>
    </w:p>
    <w:p>
      <w:pPr>
        <w:pStyle w:val="ListParagraph"/>
        <w:numPr>
          <w:ilvl w:val="0"/>
          <w:numId w:val="2"/>
        </w:numPr>
      </w:pPr>
      <w:r>
        <w:t xml:space="preserve">Año 4: USD 2.5M (30 proyectos, USD 80M levantados, AUM USD 350M)</w:t>
      </w:r>
    </w:p>
    <w:p>
      <w:pPr>
        <w:pStyle w:val="ListParagraph"/>
        <w:numPr>
          <w:ilvl w:val="0"/>
          <w:numId w:val="2"/>
        </w:numPr>
      </w:pPr>
      <w:r>
        <w:t xml:space="preserve">Año 5: USD 4.8M (60 proyectos, USD 150M levantados, AUM USD 750M)</w:t>
      </w:r>
    </w:p>
    <w:r>
      <w:br w:type="page"/>
    </w:r>
    <w:p>
      <w:pPr>
        <w:pStyle w:val="Heading1"/>
      </w:pPr>
      <w:r>
        <w:t xml:space="preserve">4. Casos de Uso</w:t>
      </w:r>
    </w:p>
    <w:p>
      <w:pPr>
        <w:pStyle w:val="Heading2"/>
      </w:pPr>
      <w:r>
        <w:t xml:space="preserve">Caso 1: Real Estate - Natural Comunidad Exclusiva (Oxapampa)</w:t>
      </w:r>
    </w:p>
    <w:p>
      <w:pPr>
        <w:pStyle w:val="ListParagraph"/>
        <w:numPr>
          <w:ilvl w:val="0"/>
          <w:numId w:val="2"/>
        </w:numPr>
      </w:pPr>
      <w:r>
        <w:t xml:space="preserve">Activo: comunidad exclusiva de 1,200m² en Oxapampa, Perú</w:t>
      </w:r>
    </w:p>
    <w:p>
      <w:pPr>
        <w:pStyle w:val="ListParagraph"/>
        <w:numPr>
          <w:ilvl w:val="0"/>
          <w:numId w:val="2"/>
        </w:numPr>
      </w:pPr>
      <w:r>
        <w:t xml:space="preserve">Valor: USD 48,000 por lote</w:t>
      </w:r>
    </w:p>
    <w:p>
      <w:pPr>
        <w:pStyle w:val="ListParagraph"/>
        <w:numPr>
          <w:ilvl w:val="0"/>
          <w:numId w:val="2"/>
        </w:numPr>
      </w:pPr>
      <w:r>
        <w:t xml:space="preserve">Tokenización: 48,000 tokens de USD 1 cada uno</w:t>
      </w:r>
    </w:p>
    <w:p>
      <w:pPr>
        <w:pStyle w:val="ListParagraph"/>
        <w:numPr>
          <w:ilvl w:val="0"/>
          <w:numId w:val="2"/>
        </w:numPr>
      </w:pPr>
      <w:r>
        <w:t xml:space="preserve">ROI esperado: 5-15% anual + apreciación de propiedad</w:t>
      </w:r>
    </w:p>
    <w:p>
      <w:pPr>
        <w:pStyle w:val="ListParagraph"/>
        <w:numPr>
          <w:ilvl w:val="0"/>
          <w:numId w:val="2"/>
        </w:numPr>
      </w:pPr>
      <w:r>
        <w:t xml:space="preserve">Acceso mínimo: USD 100 (100 tokens)</w:t>
      </w:r>
    </w:p>
    <w:p>
      <w:pPr>
        <w:pStyle w:val="Heading2"/>
      </w:pPr>
      <w:r>
        <w:t xml:space="preserve">Caso 2: Patentes Universitarias - UNI Desalinización</w:t>
      </w:r>
    </w:p>
    <w:p>
      <w:pPr>
        <w:pStyle w:val="ListParagraph"/>
        <w:numPr>
          <w:ilvl w:val="0"/>
          <w:numId w:val="2"/>
        </w:numPr>
      </w:pPr>
      <w:r>
        <w:t xml:space="preserve">Activo: patente de desalinización de agua marina económica</w:t>
      </w:r>
    </w:p>
    <w:p>
      <w:pPr>
        <w:pStyle w:val="ListParagraph"/>
        <w:numPr>
          <w:ilvl w:val="0"/>
          <w:numId w:val="2"/>
        </w:numPr>
      </w:pPr>
      <w:r>
        <w:t xml:space="preserve">Valor estimado: USD 50 millones</w:t>
      </w:r>
    </w:p>
    <w:p>
      <w:pPr>
        <w:pStyle w:val="ListParagraph"/>
        <w:numPr>
          <w:ilvl w:val="0"/>
          <w:numId w:val="2"/>
        </w:numPr>
      </w:pPr>
      <w:r>
        <w:t xml:space="preserve">Tokenización: spinoff con 40% tokens para inversionistas</w:t>
      </w:r>
    </w:p>
    <w:p>
      <w:pPr>
        <w:pStyle w:val="ListParagraph"/>
        <w:numPr>
          <w:ilvl w:val="0"/>
          <w:numId w:val="2"/>
        </w:numPr>
      </w:pPr>
      <w:r>
        <w:t xml:space="preserve">ROI esperado: 20-100% en 3-5 años (si se licencia exitosamente)</w:t>
      </w:r>
    </w:p>
    <w:p>
      <w:pPr>
        <w:pStyle w:val="ListParagraph"/>
        <w:numPr>
          <w:ilvl w:val="0"/>
          <w:numId w:val="2"/>
        </w:numPr>
      </w:pPr>
      <w:r>
        <w:t xml:space="preserve">Clientes potenciales: desaladoras de Chile, plantas de agua Perú, gobiernos Oriente Medio</w:t>
      </w:r>
    </w:p>
    <w:p>
      <w:pPr>
        <w:pStyle w:val="Heading2"/>
      </w:pPr>
      <w:r>
        <w:t xml:space="preserve">Caso 3: Minería Sostenible - Universidad de Lima</w:t>
      </w:r>
    </w:p>
    <w:p>
      <w:pPr>
        <w:pStyle w:val="ListParagraph"/>
        <w:numPr>
          <w:ilvl w:val="0"/>
          <w:numId w:val="2"/>
        </w:numPr>
      </w:pPr>
      <w:r>
        <w:t xml:space="preserve">Activo: métodos de extracción de oro ecológico (reducción cianuro 80%)</w:t>
      </w:r>
    </w:p>
    <w:p>
      <w:pPr>
        <w:pStyle w:val="ListParagraph"/>
        <w:numPr>
          <w:ilvl w:val="0"/>
          <w:numId w:val="2"/>
        </w:numPr>
      </w:pPr>
      <w:r>
        <w:t xml:space="preserve">Valor estimado: USD 100 millones</w:t>
      </w:r>
    </w:p>
    <w:p>
      <w:pPr>
        <w:pStyle w:val="ListParagraph"/>
        <w:numPr>
          <w:ilvl w:val="0"/>
          <w:numId w:val="2"/>
        </w:numPr>
      </w:pPr>
      <w:r>
        <w:t xml:space="preserve">Tokenización: pool de innovación con participación de 3-5 mineras</w:t>
      </w:r>
    </w:p>
    <w:p>
      <w:pPr>
        <w:pStyle w:val="ListParagraph"/>
        <w:numPr>
          <w:ilvl w:val="0"/>
          <w:numId w:val="2"/>
        </w:numPr>
      </w:pPr>
      <w:r>
        <w:t xml:space="preserve">ROI esperado: 15-40% anual (royalties de operaciones)</w:t>
      </w:r>
    </w:p>
    <w:p>
      <w:pPr>
        <w:pStyle w:val="ListParagraph"/>
        <w:numPr>
          <w:ilvl w:val="0"/>
          <w:numId w:val="2"/>
        </w:numPr>
      </w:pPr>
      <w:r>
        <w:t xml:space="preserve">Clientes potenciales: Barrick, Antamina, Newmont</w:t>
      </w:r>
    </w:p>
    <w:r>
      <w:br w:type="page"/>
    </w:r>
    <w:p>
      <w:pPr>
        <w:pStyle w:val="Heading1"/>
      </w:pPr>
      <w:r>
        <w:t xml:space="preserve">5. Tracción &amp; Mercado</w:t>
      </w:r>
    </w:p>
    <w:p>
      <w:pPr>
        <w:pStyle w:val="Heading2"/>
      </w:pPr>
      <w:r>
        <w:t xml:space="preserve">Tamaño del Mercado RWA Global</w:t>
      </w:r>
    </w:p>
    <w:p>
      <w:pPr>
        <w:pStyle w:val="ListParagraph"/>
        <w:numPr>
          <w:ilvl w:val="0"/>
          <w:numId w:val="2"/>
        </w:numPr>
      </w:pPr>
      <w:r>
        <w:t xml:space="preserve">2024: USD 3.3 mil millones</w:t>
      </w:r>
    </w:p>
    <w:p>
      <w:pPr>
        <w:pStyle w:val="ListParagraph"/>
        <w:numPr>
          <w:ilvl w:val="0"/>
          <w:numId w:val="2"/>
        </w:numPr>
      </w:pPr>
      <w:r>
        <w:t xml:space="preserve">2032: USD 12.8 mil millones (proyectado)</w:t>
      </w:r>
    </w:p>
    <w:p>
      <w:pPr>
        <w:pStyle w:val="ListParagraph"/>
        <w:numPr>
          <w:ilvl w:val="0"/>
          <w:numId w:val="2"/>
        </w:numPr>
      </w:pPr>
      <w:r>
        <w:t xml:space="preserve">CAGR: 18.3% anual</w:t>
      </w:r>
    </w:p>
    <w:p>
      <w:pPr>
        <w:pStyle w:val="Heading2"/>
      </w:pPr>
      <w:r>
        <w:t xml:space="preserve">Mercado Latinoamérica</w:t>
      </w:r>
    </w:p>
    <w:p>
      <w:pPr>
        <w:pStyle w:val="ListParagraph"/>
        <w:numPr>
          <w:ilvl w:val="0"/>
          <w:numId w:val="2"/>
        </w:numPr>
      </w:pPr>
      <w:r>
        <w:t xml:space="preserve">Transacciones cripto región: USD 415 mil millones (julio 2023-junio 2024)</w:t>
      </w:r>
    </w:p>
    <w:p>
      <w:pPr>
        <w:pStyle w:val="ListParagraph"/>
        <w:numPr>
          <w:ilvl w:val="0"/>
          <w:numId w:val="2"/>
        </w:numPr>
      </w:pPr>
      <w:r>
        <w:t xml:space="preserve">Crecimiento tokenización: 17-32% anual</w:t>
      </w:r>
    </w:p>
    <w:p>
      <w:pPr>
        <w:pStyle w:val="ListParagraph"/>
        <w:numPr>
          <w:ilvl w:val="0"/>
          <w:numId w:val="2"/>
        </w:numPr>
      </w:pPr>
      <w:r>
        <w:t xml:space="preserve">Ranking países: Brasil (USD 318.8B), Argentina, México, Colombia, Perú</w:t>
      </w:r>
    </w:p>
    <w:p>
      <w:pPr>
        <w:pStyle w:val="Heading2"/>
      </w:pPr>
      <w:r>
        <w:t xml:space="preserve">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Enfoque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Ventaja 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estate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80M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Patentes + minería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estate 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50M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Alcance global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Farmacéutica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15M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híbrido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Ventaja Competitiva de NeoTokens</w:t>
      </w:r>
    </w:p>
    <w:p>
      <w:pPr>
        <w:pStyle w:val="ListParagraph"/>
        <w:numPr>
          <w:ilvl w:val="0"/>
          <w:numId w:val="2"/>
        </w:numPr>
      </w:pPr>
      <w:r>
        <w:t xml:space="preserve">Enfoque dual: real estate + patentes (vs competidores enfocados en uno)</w:t>
      </w:r>
    </w:p>
    <w:p>
      <w:pPr>
        <w:pStyle w:val="ListParagraph"/>
        <w:numPr>
          <w:ilvl w:val="0"/>
          <w:numId w:val="2"/>
        </w:numPr>
      </w:pPr>
      <w:r>
        <w:t xml:space="preserve">Presencia regional: LATAM y Perú (mercado emergente con alto crecimiento cripto)</w:t>
      </w:r>
    </w:p>
    <w:p>
      <w:pPr>
        <w:pStyle w:val="ListParagraph"/>
        <w:numPr>
          <w:ilvl w:val="0"/>
          <w:numId w:val="2"/>
        </w:numPr>
      </w:pPr>
      <w:r>
        <w:t xml:space="preserve">Bajo costo operativo: modelo low-cost (USD 15-25K inicial)</w:t>
      </w:r>
    </w:p>
    <w:p>
      <w:pPr>
        <w:pStyle w:val="ListParagraph"/>
        <w:numPr>
          <w:ilvl w:val="0"/>
          <w:numId w:val="2"/>
        </w:numPr>
      </w:pPr>
      <w:r>
        <w:t xml:space="preserve">Regulación clara: SMV Perú ya ha indicado disposición a autorizar security tokens</w:t>
      </w:r>
    </w:p>
    <w:r>
      <w:br w:type="page"/>
    </w:r>
    <w:p>
      <w:pPr>
        <w:pStyle w:val="Heading1"/>
      </w:pPr>
      <w:r>
        <w:t xml:space="preserve">6. Financiamiento</w:t>
      </w:r>
    </w:p>
    <w:p>
      <w:pPr>
        <w:pStyle w:val="Heading2"/>
      </w:pPr>
      <w:r>
        <w:t xml:space="preserve">Requisitos de Capital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Mínimo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Máximo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&amp; SMV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5K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Valuación de patentes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5K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contracts ERC-3643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2K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+ backend web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4K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Grupo Coril (custodia)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2K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KYC/AML (Onfido Lite)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1K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2K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Auditoría ligera smart contracts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1K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2K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inicial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1K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2K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USD 19K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USD 32K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</w:pPr>
      <w:r>
        <w:t xml:space="preserve">Timeline</w:t>
      </w:r>
    </w:p>
    <w:p>
      <w:pPr>
        <w:pStyle w:val="ListParagraph"/>
        <w:numPr>
          <w:ilvl w:val="0"/>
          <w:numId w:val="2"/>
        </w:numPr>
      </w:pPr>
      <w:r>
        <w:t xml:space="preserve">Mes 1-2: Setup legal, SMV, Grupo Coril</w:t>
      </w:r>
    </w:p>
    <w:p>
      <w:pPr>
        <w:pStyle w:val="ListParagraph"/>
        <w:numPr>
          <w:ilvl w:val="0"/>
          <w:numId w:val="2"/>
        </w:numPr>
      </w:pPr>
      <w:r>
        <w:t xml:space="preserve">Mes 2-4: Desarrollo smart contracts, frontend, backend</w:t>
      </w:r>
    </w:p>
    <w:p>
      <w:pPr>
        <w:pStyle w:val="ListParagraph"/>
        <w:numPr>
          <w:ilvl w:val="0"/>
          <w:numId w:val="2"/>
        </w:numPr>
      </w:pPr>
      <w:r>
        <w:t xml:space="preserve">Mes 4-5: Testing, auditoría, deploy testnet</w:t>
      </w:r>
    </w:p>
    <w:p>
      <w:pPr>
        <w:pStyle w:val="ListParagraph"/>
        <w:numPr>
          <w:ilvl w:val="0"/>
          <w:numId w:val="2"/>
        </w:numPr>
      </w:pPr>
      <w:r>
        <w:t xml:space="preserve">Mes 5-6: Presale, roadshow inversionistas</w:t>
      </w:r>
    </w:p>
    <w:p>
      <w:pPr>
        <w:pStyle w:val="ListParagraph"/>
        <w:numPr>
          <w:ilvl w:val="0"/>
          <w:numId w:val="2"/>
        </w:numPr>
      </w:pPr>
      <w:r>
        <w:t xml:space="preserve">Mes 6-7: Deploy mainnet, go-live marketplace</w:t>
      </w:r>
    </w:p>
    <w:p>
      <w:pPr>
        <w:pStyle w:val="ListParagraph"/>
        <w:numPr>
          <w:ilvl w:val="0"/>
          <w:numId w:val="2"/>
        </w:numPr>
      </w:pPr>
      <w:r>
        <w:t xml:space="preserve">Mes 7-12: Operación, adquisición de más proyectos</w:t>
      </w:r>
    </w:p>
    <w:r>
      <w:br w:type="page"/>
    </w:r>
    <w:p>
      <w:pPr>
        <w:pStyle w:val="Heading1"/>
      </w:pPr>
      <w:r>
        <w:t xml:space="preserve">7. Roadmap de Comercialización</w:t>
      </w:r>
    </w:p>
    <w:p>
      <w:r>
        <w:t xml:space="preserve">Estrategia paso a paso para comercializar el servicio de tokenización a propietarios de activos e inversionistas.</w:t>
      </w:r>
    </w:p>
    <w:p>
      <w:pPr>
        <w:pStyle w:val="Heading2"/>
      </w:pPr>
      <w:r>
        <w:t xml:space="preserve">Fase 1: Preparación (Meses 1-2)</w:t>
      </w:r>
    </w:p>
    <w:p>
      <w:pPr>
        <w:pStyle w:val="ListParagraph"/>
        <w:numPr>
          <w:ilvl w:val="0"/>
          <w:numId w:val="2"/>
        </w:numPr>
      </w:pPr>
      <w:r>
        <w:t xml:space="preserve">Identificar primeros 3-5 proyectos inmobiliarios y patentes universitarias como casos piloto</w:t>
      </w:r>
    </w:p>
    <w:p>
      <w:pPr>
        <w:pStyle w:val="ListParagraph"/>
        <w:numPr>
          <w:ilvl w:val="0"/>
          <w:numId w:val="2"/>
        </w:numPr>
      </w:pPr>
      <w:r>
        <w:t xml:space="preserve">Validar potencial de mercado de cada activo (contactar 5+ posibles licenciatarios)</w:t>
      </w:r>
    </w:p>
    <w:p>
      <w:pPr>
        <w:pStyle w:val="ListParagraph"/>
        <w:numPr>
          <w:ilvl w:val="0"/>
          <w:numId w:val="2"/>
        </w:numPr>
      </w:pPr>
      <w:r>
        <w:t xml:space="preserve">Estructurar documentación legal y acuerdos con propietarios</w:t>
      </w:r>
    </w:p>
    <w:p>
      <w:pPr>
        <w:pStyle w:val="ListParagraph"/>
        <w:numPr>
          <w:ilvl w:val="0"/>
          <w:numId w:val="2"/>
        </w:numPr>
      </w:pPr>
      <w:r>
        <w:t xml:space="preserve">Crear material de marketing: fichas técnicas, videos explicativos</w:t>
      </w:r>
    </w:p>
    <w:p>
      <w:pPr>
        <w:pStyle w:val="ListParagraph"/>
        <w:numPr>
          <w:ilvl w:val="0"/>
          <w:numId w:val="2"/>
        </w:numPr>
      </w:pPr>
      <w:r>
        <w:t xml:space="preserve">Contactar universidades peruanas (UNI, PUCP, UDeLima) para evaluar patentes</w:t>
      </w:r>
    </w:p>
    <w:p>
      <w:pPr>
        <w:pStyle w:val="Heading2"/>
      </w:pPr>
      <w:r>
        <w:t xml:space="preserve">Fase 2: Desarrollo Técnico (Meses 3-5)</w:t>
      </w:r>
    </w:p>
    <w:p>
      <w:pPr>
        <w:pStyle w:val="ListParagraph"/>
        <w:numPr>
          <w:ilvl w:val="0"/>
          <w:numId w:val="2"/>
        </w:numPr>
      </w:pPr>
      <w:r>
        <w:t xml:space="preserve">Diseñar e implementar smart contracts ERC-3643 personalizados</w:t>
      </w:r>
    </w:p>
    <w:p>
      <w:pPr>
        <w:pStyle w:val="ListParagraph"/>
        <w:numPr>
          <w:ilvl w:val="0"/>
          <w:numId w:val="2"/>
        </w:numPr>
      </w:pPr>
      <w:r>
        <w:t xml:space="preserve">Desarrollar plataforma web: dashboard inversionista, gestión de tokens, transferencias</w:t>
      </w:r>
    </w:p>
    <w:p>
      <w:pPr>
        <w:pStyle w:val="ListParagraph"/>
        <w:numPr>
          <w:ilvl w:val="0"/>
          <w:numId w:val="2"/>
        </w:numPr>
      </w:pPr>
      <w:r>
        <w:t xml:space="preserve">Integrar KYC/AML (Onfido) para cumplimiento regulatorio</w:t>
      </w:r>
    </w:p>
    <w:p>
      <w:pPr>
        <w:pStyle w:val="ListParagraph"/>
        <w:numPr>
          <w:ilvl w:val="0"/>
          <w:numId w:val="2"/>
        </w:numPr>
      </w:pPr>
      <w:r>
        <w:t xml:space="preserve">Setup de custodia con Grupo Coril (USDC, reportes UIF)</w:t>
      </w:r>
    </w:p>
    <w:p>
      <w:pPr>
        <w:pStyle w:val="ListParagraph"/>
        <w:numPr>
          <w:ilvl w:val="0"/>
          <w:numId w:val="2"/>
        </w:numPr>
      </w:pPr>
      <w:r>
        <w:t xml:space="preserve">Deploy en testnet (Goerli) y testing exhaustivo</w:t>
      </w:r>
    </w:p>
    <w:p>
      <w:pPr>
        <w:pStyle w:val="ListParagraph"/>
        <w:numPr>
          <w:ilvl w:val="0"/>
          <w:numId w:val="2"/>
        </w:numPr>
      </w:pPr>
      <w:r>
        <w:t xml:space="preserve">Auditoría ligera de smart contracts por tercero independiente</w:t>
      </w:r>
    </w:p>
    <w:p>
      <w:pPr>
        <w:pStyle w:val="Heading2"/>
      </w:pPr>
      <w:r>
        <w:t xml:space="preserve">Fase 3: Lanzamiento MVP (Meses 5-6)</w:t>
      </w:r>
    </w:p>
    <w:p>
      <w:pPr>
        <w:pStyle w:val="ListParagraph"/>
        <w:numPr>
          <w:ilvl w:val="0"/>
          <w:numId w:val="2"/>
        </w:numPr>
      </w:pPr>
      <w:r>
        <w:t xml:space="preserve">Presale cerrado: invitación a 50-100 inversionistas acreditados</w:t>
      </w:r>
    </w:p>
    <w:p>
      <w:pPr>
        <w:pStyle w:val="ListParagraph"/>
        <w:numPr>
          <w:ilvl w:val="0"/>
          <w:numId w:val="2"/>
        </w:numPr>
      </w:pPr>
      <w:r>
        <w:t xml:space="preserve">Meta presale: USD 500K-1M en primer proyecto</w:t>
      </w:r>
    </w:p>
    <w:p>
      <w:pPr>
        <w:pStyle w:val="ListParagraph"/>
        <w:numPr>
          <w:ilvl w:val="0"/>
          <w:numId w:val="2"/>
        </w:numPr>
      </w:pPr>
      <w:r>
        <w:t xml:space="preserve">Roadshow: presentaciones en Lima, Santiago, Miami</w:t>
      </w:r>
    </w:p>
    <w:p>
      <w:pPr>
        <w:pStyle w:val="ListParagraph"/>
        <w:numPr>
          <w:ilvl w:val="0"/>
          <w:numId w:val="2"/>
        </w:numPr>
      </w:pPr>
      <w:r>
        <w:t xml:space="preserve">Partnerships: contactar Reental, RealT, Molecules para sinergia</w:t>
      </w:r>
    </w:p>
    <w:p>
      <w:pPr>
        <w:pStyle w:val="ListParagraph"/>
        <w:numPr>
          <w:ilvl w:val="0"/>
          <w:numId w:val="2"/>
        </w:numPr>
      </w:pPr>
      <w:r>
        <w:t xml:space="preserve">PR: prensa blockchain, media LATAM, newsletters fintech</w:t>
      </w:r>
    </w:p>
    <w:p>
      <w:pPr>
        <w:pStyle w:val="Heading2"/>
      </w:pPr>
      <w:r>
        <w:t xml:space="preserve">Fase 4: Mainnet &amp; Scaling (Meses 7-12)</w:t>
      </w:r>
    </w:p>
    <w:p>
      <w:pPr>
        <w:pStyle w:val="ListParagraph"/>
        <w:numPr>
          <w:ilvl w:val="0"/>
          <w:numId w:val="2"/>
        </w:numPr>
      </w:pPr>
      <w:r>
        <w:t xml:space="preserve">Deploy en Ethereum Mainnet</w:t>
      </w:r>
    </w:p>
    <w:p>
      <w:pPr>
        <w:pStyle w:val="ListParagraph"/>
        <w:numPr>
          <w:ilvl w:val="0"/>
          <w:numId w:val="2"/>
        </w:numPr>
      </w:pPr>
      <w:r>
        <w:t xml:space="preserve">Marketplace operacional 24/7: trading secundario de tokens</w:t>
      </w:r>
    </w:p>
    <w:p>
      <w:pPr>
        <w:pStyle w:val="ListParagraph"/>
        <w:numPr>
          <w:ilvl w:val="0"/>
          <w:numId w:val="2"/>
        </w:numPr>
      </w:pPr>
      <w:r>
        <w:t xml:space="preserve">Distribución automática de royalties/dividendos</w:t>
      </w:r>
    </w:p>
    <w:p>
      <w:pPr>
        <w:pStyle w:val="ListParagraph"/>
        <w:numPr>
          <w:ilvl w:val="0"/>
          <w:numId w:val="2"/>
        </w:numPr>
      </w:pPr>
      <w:r>
        <w:t xml:space="preserve">Adquisición de 2-3 proyectos adicionales (Natural, patentes, minería)</w:t>
      </w:r>
    </w:p>
    <w:p>
      <w:pPr>
        <w:pStyle w:val="ListParagraph"/>
        <w:numPr>
          <w:ilvl w:val="0"/>
          <w:numId w:val="2"/>
        </w:numPr>
      </w:pPr>
      <w:r>
        <w:t xml:space="preserve">Public sale: apertura a retail + institucionales</w:t>
      </w:r>
    </w:p>
    <w:p>
      <w:pPr>
        <w:pStyle w:val="ListParagraph"/>
        <w:numPr>
          <w:ilvl w:val="0"/>
          <w:numId w:val="2"/>
        </w:numPr>
      </w:pPr>
      <w:r>
        <w:t xml:space="preserve">Meta año 1: USD 5-10M levantados, 2-3 proyectos activos, 200+ inversionistas</w:t>
      </w:r>
    </w:p>
    <w:p>
      <w:pPr>
        <w:pStyle w:val="Heading2"/>
      </w:pPr>
      <w:r>
        <w:t xml:space="preserve">Fase 5: Expansión Regional (Año 2-3)</w:t>
      </w:r>
    </w:p>
    <w:p>
      <w:pPr>
        <w:pStyle w:val="ListParagraph"/>
        <w:numPr>
          <w:ilvl w:val="0"/>
          <w:numId w:val="2"/>
        </w:numPr>
      </w:pPr>
      <w:r>
        <w:t xml:space="preserve">Replicar modelo a Chile, Colombia, Argentina (LATAM)</w:t>
      </w:r>
    </w:p>
    <w:p>
      <w:pPr>
        <w:pStyle w:val="ListParagraph"/>
        <w:numPr>
          <w:ilvl w:val="0"/>
          <w:numId w:val="2"/>
        </w:numPr>
      </w:pPr>
      <w:r>
        <w:t xml:space="preserve">Tokenizar consorcio de patentes universitarias (10-15 patentes)</w:t>
      </w:r>
    </w:p>
    <w:p>
      <w:pPr>
        <w:pStyle w:val="ListParagraph"/>
        <w:numPr>
          <w:ilvl w:val="0"/>
          <w:numId w:val="2"/>
        </w:numPr>
      </w:pPr>
      <w:r>
        <w:t xml:space="preserve">Integración con DeFi: listados en Uniswap, préstamos contra tokens</w:t>
      </w:r>
    </w:p>
    <w:p>
      <w:pPr>
        <w:pStyle w:val="ListParagraph"/>
        <w:numPr>
          <w:ilvl w:val="0"/>
          <w:numId w:val="2"/>
        </w:numPr>
      </w:pPr>
      <w:r>
        <w:t xml:space="preserve">Meta año 3: USD 100-200M AUM, 15-20 proyectos, presencia regional</w:t>
      </w:r>
    </w:p>
    <w:p>
      <w:pPr>
        <w:pStyle w:val="Heading2"/>
      </w:pPr>
      <w:r>
        <w:t xml:space="preserve">Estrategia de Adquisición de Proyectos</w:t>
      </w:r>
    </w:p>
    <w:p>
      <w:pPr>
        <w:pStyle w:val="ListParagraph"/>
        <w:numPr>
          <w:ilvl w:val="0"/>
          <w:numId w:val="2"/>
        </w:numPr>
      </w:pPr>
      <w:r>
        <w:t xml:space="preserve">Inbound: propietarios de activos contactan NeoTokens vía web</w:t>
      </w:r>
    </w:p>
    <w:p>
      <w:pPr>
        <w:pStyle w:val="ListParagraph"/>
        <w:numPr>
          <w:ilvl w:val="0"/>
          <w:numId w:val="2"/>
        </w:numPr>
      </w:pPr>
      <w:r>
        <w:t xml:space="preserve">Outbound: equipo prospera en universidades, desarrolladores inmobiliarios, mineras</w:t>
      </w:r>
    </w:p>
    <w:p>
      <w:pPr>
        <w:pStyle w:val="ListParagraph"/>
        <w:numPr>
          <w:ilvl w:val="0"/>
          <w:numId w:val="2"/>
        </w:numPr>
      </w:pPr>
      <w:r>
        <w:t xml:space="preserve">Partners: alianzas con gestores immobiliarios, consultoras de IP, cámaras mineras</w:t>
      </w:r>
    </w:p>
    <w:p>
      <w:pPr>
        <w:pStyle w:val="ListParagraph"/>
        <w:numPr>
          <w:ilvl w:val="0"/>
          <w:numId w:val="2"/>
        </w:numPr>
      </w:pPr>
      <w:r>
        <w:t xml:space="preserve">Filtros: validación de mercado, valuación, viabilidad legal, potencial ingresos</w:t>
      </w:r>
    </w:p>
    <w:r>
      <w:br w:type="page"/>
    </w:r>
    <w:p>
      <w:pPr>
        <w:pStyle w:val="Heading1"/>
      </w:pPr>
      <w:r>
        <w:t xml:space="preserve">8. Business Model Canvas</w:t>
      </w:r>
    </w:p>
    <w:p>
      <w:r>
        <w:t xml:space="preserve">A continuación se presenta el lienzo de modelo de negocio de NeoTokens, desglosando los 9 elementos clave: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ASOCIADOS CLAVE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RELACIÓN CON CLIENTE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Firm Easy (legal)</w:t>
            </w:r>
          </w:p>
          <w:p>
            <w:r>
              <w:t xml:space="preserve">Grupo Coril (custodia)</w:t>
            </w:r>
          </w:p>
          <w:p>
            <w:r>
              <w:t xml:space="preserve">Onfido (KYC)</w:t>
            </w:r>
          </w:p>
          <w:p>
            <w:r>
              <w:t xml:space="preserve">Proveedores RPC (Infura)</w:t>
            </w:r>
          </w:p>
          <w:p>
            <w:r>
              <w:t xml:space="preserve">Universidades</w:t>
            </w:r>
          </w:p>
          <w:p>
            <w:r>
              <w:t xml:space="preserve">Desarrolladores inmobiliarios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Tokenizar activos (ERC-3643)</w:t>
            </w:r>
          </w:p>
          <w:p>
            <w:r>
              <w:t xml:space="preserve">Distribuir vía marketplace</w:t>
            </w:r>
          </w:p>
          <w:p>
            <w:r>
              <w:t xml:space="preserve">Gestión de royalties</w:t>
            </w:r>
          </w:p>
          <w:p>
            <w:r>
              <w:t xml:space="preserve">Cumplimiento regulatorio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Acceso desde USD 100</w:t>
            </w:r>
          </w:p>
          <w:p>
            <w:r>
              <w:t xml:space="preserve">Transparencia blockchain</w:t>
            </w:r>
          </w:p>
          <w:p>
            <w:r>
              <w:t xml:space="preserve">Liquidez 24/7</w:t>
            </w:r>
          </w:p>
          <w:p>
            <w:r>
              <w:t xml:space="preserve">Bajo costo (2-3%)</w:t>
            </w:r>
          </w:p>
          <w:p>
            <w:r>
              <w:t xml:space="preserve">Distribución automática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Soporte técnico 24/7</w:t>
            </w:r>
          </w:p>
          <w:p>
            <w:r>
              <w:t xml:space="preserve">Dashboard personalizado</w:t>
            </w:r>
          </w:p>
          <w:p>
            <w:r>
              <w:t xml:space="preserve">Community engagement</w:t>
            </w:r>
          </w:p>
          <w:p>
            <w:r>
              <w:t xml:space="preserve">Reportes transparentes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SEGMENTOS DE CLIENTE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CANALES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RECURSOS CLAVE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ESTRUCTURA DE COSTOS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Inversionistas retail USD 100+</w:t>
            </w:r>
          </w:p>
          <w:p>
            <w:r>
              <w:t xml:space="preserve">Inversionistas acreditados</w:t>
            </w:r>
          </w:p>
          <w:p>
            <w:r>
              <w:t xml:space="preserve">Family offices</w:t>
            </w:r>
          </w:p>
          <w:p>
            <w:r>
              <w:t xml:space="preserve">Propietarios de activos</w:t>
            </w:r>
          </w:p>
          <w:p>
            <w:r>
              <w:t xml:space="preserve">Universidades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Sitio web: neotokens.io</w:t>
            </w:r>
          </w:p>
          <w:p>
            <w:r>
              <w:t xml:space="preserve">App móvil</w:t>
            </w:r>
          </w:p>
          <w:p>
            <w:r>
              <w:t xml:space="preserve">Roadshow presencial</w:t>
            </w:r>
          </w:p>
          <w:p>
            <w:r>
              <w:t xml:space="preserve">Newsletters blockchain</w:t>
            </w:r>
          </w:p>
          <w:p>
            <w:r>
              <w:t xml:space="preserve">Redes sociales</w:t>
            </w:r>
          </w:p>
          <w:p>
            <w:r>
              <w:t xml:space="preserve">Partnerships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blockchain</w:t>
            </w:r>
          </w:p>
          <w:p>
            <w:r>
              <w:t xml:space="preserve">Equipo técnico</w:t>
            </w:r>
          </w:p>
          <w:p>
            <w:r>
              <w:t xml:space="preserve">Acuerdos legales</w:t>
            </w:r>
          </w:p>
          <w:p>
            <w:r>
              <w:t xml:space="preserve">Relación con partners</w:t>
            </w:r>
          </w:p>
          <w:p>
            <w:r>
              <w:t xml:space="preserve">Licencia SMV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Operación: USD 1.8-3.1K/mes</w:t>
            </w:r>
          </w:p>
          <w:p>
            <w:r>
              <w:t xml:space="preserve">Equipo: USD 15K/mes</w:t>
            </w:r>
          </w:p>
          <w:p>
            <w:r>
              <w:t xml:space="preserve">Infraestructura: USD 2-3K/mes</w:t>
            </w:r>
          </w:p>
          <w:p>
            <w:r>
              <w:t xml:space="preserve">Marketing: USD 0.5-1K/mes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</w:pPr>
      <w:r>
        <w:t xml:space="preserve">Flujos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Ingreso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Comisión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Tokenización inicial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 del capital levantado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Presale y public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secundario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2% por transacción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 P2P 24/7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Custodia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0.5% del AUM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 Under Management</w:t>
            </w:r>
          </w:p>
        </w:tc>
      </w:tr>
    </w:tbl>
    <w:r>
      <w:br w:type="page"/>
    </w:r>
    <w:p>
      <w:pPr>
        <w:pStyle w:val="Heading1"/>
      </w:pPr>
      <w:r>
        <w:t xml:space="preserve">9. Próximos Pasos</w:t>
      </w:r>
    </w:p>
    <w:p>
      <w:pPr>
        <w:pStyle w:val="Heading2"/>
      </w:pPr>
      <w:r>
        <w:t xml:space="preserve">Inmediatos (Semanas 1-2)</w:t>
      </w:r>
    </w:p>
    <w:p>
      <w:pPr>
        <w:pStyle w:val="ListParagraph"/>
        <w:numPr>
          <w:ilvl w:val="0"/>
          <w:numId w:val="2"/>
        </w:numPr>
      </w:pPr>
      <w:r>
        <w:t xml:space="preserve">Revisión de propuesta con equipo cofundador</w:t>
      </w:r>
    </w:p>
    <w:p>
      <w:pPr>
        <w:pStyle w:val="ListParagraph"/>
        <w:numPr>
          <w:ilvl w:val="0"/>
          <w:numId w:val="2"/>
        </w:numPr>
      </w:pPr>
      <w:r>
        <w:t xml:space="preserve">Contacto con Firm Easy: presupuesto legal y pre-consulta SMV</w:t>
      </w:r>
    </w:p>
    <w:p>
      <w:pPr>
        <w:pStyle w:val="ListParagraph"/>
        <w:numPr>
          <w:ilvl w:val="0"/>
          <w:numId w:val="2"/>
        </w:numPr>
      </w:pPr>
      <w:r>
        <w:t xml:space="preserve">Contacto con Grupo Coril: setup de custodia</w:t>
      </w:r>
    </w:p>
    <w:p>
      <w:pPr>
        <w:pStyle w:val="ListParagraph"/>
        <w:numPr>
          <w:ilvl w:val="0"/>
          <w:numId w:val="2"/>
        </w:numPr>
      </w:pPr>
      <w:r>
        <w:t xml:space="preserve">Asignación de Dev Lead Solidity y equipo técnico</w:t>
      </w:r>
    </w:p>
    <w:p>
      <w:pPr>
        <w:pStyle w:val="Heading2"/>
      </w:pPr>
      <w:r>
        <w:t xml:space="preserve">Corto Plazo (Meses 1-3)</w:t>
      </w:r>
    </w:p>
    <w:p>
      <w:pPr>
        <w:pStyle w:val="ListParagraph"/>
        <w:numPr>
          <w:ilvl w:val="0"/>
          <w:numId w:val="2"/>
        </w:numPr>
      </w:pPr>
      <w:r>
        <w:t xml:space="preserve">Constituir spinoff (si modelo tipo patentes) o entidad legal</w:t>
      </w:r>
    </w:p>
    <w:p>
      <w:pPr>
        <w:pStyle w:val="ListParagraph"/>
        <w:numPr>
          <w:ilvl w:val="0"/>
          <w:numId w:val="2"/>
        </w:numPr>
      </w:pPr>
      <w:r>
        <w:t xml:space="preserve">Pre-consulta informal con SMV: viabilidad estructura ERC-3643</w:t>
      </w:r>
    </w:p>
    <w:p>
      <w:pPr>
        <w:pStyle w:val="ListParagraph"/>
        <w:numPr>
          <w:ilvl w:val="0"/>
          <w:numId w:val="2"/>
        </w:numPr>
      </w:pPr>
      <w:r>
        <w:t xml:space="preserve">Desarrollo de smart contracts en testnet</w:t>
      </w:r>
    </w:p>
    <w:p>
      <w:pPr>
        <w:pStyle w:val="ListParagraph"/>
        <w:numPr>
          <w:ilvl w:val="0"/>
          <w:numId w:val="2"/>
        </w:numPr>
      </w:pPr>
      <w:r>
        <w:t xml:space="preserve">Validación de mercado: contactar 5+ potenciales clientes por proyecto</w:t>
      </w:r>
    </w:p>
    <w:p>
      <w:pPr>
        <w:pStyle w:val="Heading2"/>
      </w:pPr>
      <w:r>
        <w:t xml:space="preserve">Mediano Plazo (Meses 3-6)</w:t>
      </w:r>
    </w:p>
    <w:p>
      <w:pPr>
        <w:pStyle w:val="ListParagraph"/>
        <w:numPr>
          <w:ilvl w:val="0"/>
          <w:numId w:val="2"/>
        </w:numPr>
      </w:pPr>
      <w:r>
        <w:t xml:space="preserve">Go-live de primer proyecto en mainnet</w:t>
      </w:r>
    </w:p>
    <w:p>
      <w:pPr>
        <w:pStyle w:val="ListParagraph"/>
        <w:numPr>
          <w:ilvl w:val="0"/>
          <w:numId w:val="2"/>
        </w:numPr>
      </w:pPr>
      <w:r>
        <w:t xml:space="preserve">Presale cerrado: USD 500K-1M</w:t>
      </w:r>
    </w:p>
    <w:p>
      <w:pPr>
        <w:pStyle w:val="ListParagraph"/>
        <w:numPr>
          <w:ilvl w:val="0"/>
          <w:numId w:val="2"/>
        </w:numPr>
      </w:pPr>
      <w:r>
        <w:t xml:space="preserve">Marketplace operacional</w:t>
      </w:r>
    </w:p>
    <w:p>
      <w:pPr>
        <w:pStyle w:val="ListParagraph"/>
        <w:numPr>
          <w:ilvl w:val="0"/>
          <w:numId w:val="2"/>
        </w:numPr>
      </w:pPr>
      <w:r>
        <w:t xml:space="preserve">Integración de 2-3 proyectos adicionales</w:t>
      </w:r>
    </w:p>
    <w:p>
      <w:pPr>
        <w:pStyle w:val="Heading2"/>
      </w:pPr>
      <w:r>
        <w:t xml:space="preserve">Largo Plazo (Año 2+)</w:t>
      </w:r>
    </w:p>
    <w:p>
      <w:pPr>
        <w:pStyle w:val="ListParagraph"/>
        <w:numPr>
          <w:ilvl w:val="0"/>
          <w:numId w:val="2"/>
        </w:numPr>
      </w:pPr>
      <w:r>
        <w:t xml:space="preserve">Expansión a LATAM: Chile, Colombia, Argentina</w:t>
      </w:r>
    </w:p>
    <w:p>
      <w:pPr>
        <w:pStyle w:val="ListParagraph"/>
        <w:numPr>
          <w:ilvl w:val="0"/>
          <w:numId w:val="2"/>
        </w:numPr>
      </w:pPr>
      <w:r>
        <w:t xml:space="preserve">Tokenizar 10-15 patentes en pool único</w:t>
      </w:r>
    </w:p>
    <w:p>
      <w:pPr>
        <w:pStyle w:val="ListParagraph"/>
        <w:numPr>
          <w:ilvl w:val="0"/>
          <w:numId w:val="2"/>
        </w:numPr>
      </w:pPr>
      <w:r>
        <w:t xml:space="preserve">Listado en DEX (Uniswap)</w:t>
      </w:r>
    </w:p>
    <w:p>
      <w:pPr>
        <w:pStyle w:val="ListParagraph"/>
        <w:numPr>
          <w:ilvl w:val="0"/>
          <w:numId w:val="2"/>
        </w:numPr>
      </w:pPr>
      <w:r>
        <w:t xml:space="preserve">Posible exit: venta a plataforma RWA global o IPO</w:t>
      </w:r>
    </w:p>
    <w:p>
      <w:pPr>
        <w:pStyle w:val="Heading2"/>
      </w:pPr>
      <w:r>
        <w:t xml:space="preserve">Contacto</w:t>
      </w:r>
    </w:p>
    <w:p>
      <w:pPr>
        <w:pStyle w:val="ListParagraph"/>
        <w:numPr>
          <w:ilvl w:val="0"/>
          <w:numId w:val="2"/>
        </w:numPr>
      </w:pPr>
      <w:r>
        <w:t xml:space="preserve">Email: hello@neotokens.io</w:t>
      </w:r>
    </w:p>
    <w:p>
      <w:pPr>
        <w:pStyle w:val="ListParagraph"/>
        <w:numPr>
          <w:ilvl w:val="0"/>
          <w:numId w:val="2"/>
        </w:numPr>
      </w:pPr>
      <w:r>
        <w:t xml:space="preserve">Website: neotokens.io (en desarrollo)</w:t>
      </w:r>
    </w:p>
    <w:p>
      <w:pPr>
        <w:pStyle w:val="ListParagraph"/>
        <w:numPr>
          <w:ilvl w:val="0"/>
          <w:numId w:val="2"/>
        </w:numPr>
      </w:pPr>
      <w:r>
        <w:t xml:space="preserve">LinkedIn: linkedin.com/company/neotokens</w:t>
      </w:r>
    </w:p>
    <w:p>
      <w:pPr>
        <w:spacing w:before="600"/>
      </w:pPr>
      <w:r>
        <w:t xml:space="preserve"/>
      </w:r>
    </w:p>
    <w:p>
      <w:pPr>
        <w:spacing w:after="200" w:before="200"/>
        <w:jc w:val="center"/>
      </w:pPr>
      <w:r>
        <w:rPr>
          <w:color w:val="D4AF37"/>
          <w:sz w:val="24"/>
          <w:szCs w:val="24"/>
        </w:rPr>
        <w:t xml:space="preserve">---</w:t>
      </w:r>
    </w:p>
    <w:p>
      <w:pPr>
        <w:spacing w:after="100" w:before="200"/>
        <w:jc w:val="center"/>
      </w:pPr>
      <w:r>
        <w:rPr>
          <w:color w:val="4A4A4A"/>
          <w:sz w:val="20"/>
          <w:szCs w:val="20"/>
        </w:rPr>
        <w:t xml:space="preserve">Propuesta confidencial - Marzo de 2026</w:t>
      </w:r>
    </w:p>
    <w:p>
      <w:pPr>
        <w:jc w:val="center"/>
      </w:pPr>
      <w:r>
        <w:rPr>
          <w:color w:val="4A4A4A"/>
          <w:sz w:val="20"/>
          <w:szCs w:val="20"/>
        </w:rPr>
        <w:t xml:space="preserve">© 2026 NeoTokens.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2B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2026-04-01T23:14:52.028Z</dcterms:created>
  <dcterms:modified xsi:type="dcterms:W3CDTF">2026-04-01T23:14:52.029Z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