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8"/>
          <w:sz w:val="56"/>
          <w:szCs w:val="56"/>
        </w:rPr>
        <w:t xml:space="preserve">PACER</w:t>
      </w:r>
    </w:p>
    <w:p>
      <w:pPr>
        <w:spacing w:after="60"/>
      </w:pPr>
      <w:r>
        <w:rPr>
          <w:color w:val="5F5E5A"/>
          <w:sz w:val="26"/>
          <w:szCs w:val="26"/>
        </w:rPr>
        <w:t xml:space="preserve">A spending pacer and intentional-purchase queue</w:t>
      </w:r>
    </w:p>
    <w:p>
      <w:pPr>
        <w:spacing w:after="120"/>
      </w:pPr>
      <w:r>
        <w:rPr>
          <w:color w:val="5F5E5A"/>
          <w:sz w:val="20"/>
          <w:szCs w:val="20"/>
        </w:rPr>
        <w:t xml:space="preserve">Product plan  ·  Version 1.0  ·  Draft for review</w:t>
      </w:r>
    </w:p>
    <w:p>
      <w:pPr>
        <w:pBdr>
          <w:bottom w:val="single" w:color="D3D1C7" w:sz="6"/>
        </w:pBdr>
        <w:spacing w:after="200" w:before="120"/>
      </w:pPr>
    </w:p>
    <w:p>
      <w:pPr>
        <w:pStyle w:val="Heading1"/>
        <w:spacing w:after="160" w:before="320"/>
      </w:pPr>
      <w:r>
        <w:t xml:space="preserve">Executive summary</w:t>
      </w:r>
    </w:p>
    <w:p>
      <w:pPr>
        <w:spacing w:after="140" w:line="300"/>
      </w:pPr>
      <w:r>
        <w:rPr>
          <w:color w:val="2C2C2A"/>
          <w:sz w:val="22"/>
          <w:szCs w:val="22"/>
        </w:rPr>
        <w:t xml:space="preserve">Most people on a fixed monthly income do not have an income problem or a discipline problem. They have a pacing problem: money arrives as one large sum, feels abundant on arrival, and is disproportionately consumed in the first week. The remaining weeks are then spent in an artificial scarcity that has nothing to do with total earnings.</w:t>
      </w:r>
    </w:p>
    <w:p>
      <w:pPr>
        <w:spacing w:after="140" w:line="300"/>
      </w:pPr>
      <w:r>
        <w:rPr>
          <w:color w:val="2C2C2A"/>
          <w:sz w:val="22"/>
          <w:szCs w:val="22"/>
        </w:rPr>
        <w:t xml:space="preserve">Existing budgeting tools do not solve this. They are rear-view mirrors — they categorise spending after it has happened and report the damage. By the time the report is accurate, the money is gone.</w:t>
      </w:r>
    </w:p>
    <w:p>
      <w:pPr>
        <w:spacing w:after="140" w:line="300"/>
      </w:pPr>
      <w:r>
        <w:rPr>
          <w:color w:val="2C2C2A"/>
          <w:sz w:val="22"/>
          <w:szCs w:val="22"/>
        </w:rPr>
        <w:t xml:space="preserve">Pacer inverts this. It converts a monthly balance into a single forward-looking daily number, and channels every unspent rupee into a structured queue of things the user has deliberately decided they want. The result is a system that makes restraint visible, rewarded, and finite in duration.</w:t>
      </w:r>
    </w:p>
    <w:p>
      <w:pPr>
        <w:pStyle w:val="Heading1"/>
        <w:spacing w:after="160" w:before="320"/>
      </w:pPr>
      <w:r>
        <w:t xml:space="preserve">Problem definition</w:t>
      </w:r>
    </w:p>
    <w:p>
      <w:pPr>
        <w:pStyle w:val="Heading2"/>
        <w:spacing w:after="160" w:before="320"/>
      </w:pPr>
      <w:r>
        <w:t xml:space="preserve">The pacing failure</w:t>
      </w:r>
    </w:p>
    <w:p>
      <w:pPr>
        <w:spacing w:after="140" w:line="300"/>
      </w:pPr>
      <w:r>
        <w:rPr>
          <w:color w:val="2C2C2A"/>
          <w:sz w:val="22"/>
          <w:szCs w:val="22"/>
        </w:rPr>
        <w:t xml:space="preserve">Income arrives monthly. Spending decisions are made daily. The mismatch between these two rhythms is the root cause. A person looking at a full month’s balance is not evaluating a daily decision against a daily budget — they are evaluating it against a number roughly thirty times too large. Every individual purchase looks trivially affordable, and the aggregate is not visible until it is too late.</w:t>
      </w:r>
    </w:p>
    <w:p>
      <w:pPr>
        <w:pStyle w:val="Heading2"/>
        <w:spacing w:after="160" w:before="320"/>
      </w:pPr>
      <w:r>
        <w:t xml:space="preserve">The displacement failure</w:t>
      </w:r>
    </w:p>
    <w:p>
      <w:pPr>
        <w:spacing w:after="140" w:line="300"/>
      </w:pPr>
      <w:r>
        <w:rPr>
          <w:color w:val="2C2C2A"/>
          <w:sz w:val="22"/>
          <w:szCs w:val="22"/>
        </w:rPr>
        <w:t xml:space="preserve">A second, compounding problem: genuine needs get deferred indefinitely while lower-value purchases proceed. This is not irrationality. Needs are typically larger, less urgent-feeling, and easy to postpone by one more month; wants are smaller, emotionally immediate, and self-justifying. Without structural separation, wants will always win the competition for the same pool of money.</w:t>
      </w:r>
    </w:p>
    <w:p>
      <w:pPr>
        <w:pStyle w:val="Heading2"/>
        <w:spacing w:after="160" w:before="320"/>
      </w:pPr>
      <w:r>
        <w:t xml:space="preserve">What follows from this</w:t>
      </w:r>
    </w:p>
    <w:p>
      <w:pPr>
        <w:spacing w:after="140" w:line="300"/>
      </w:pPr>
      <w:r>
        <w:rPr>
          <w:color w:val="2C2C2A"/>
          <w:sz w:val="22"/>
          <w:szCs w:val="22"/>
        </w:rPr>
        <w:t xml:space="preserve">Any solution must do two things that conventional budgeting apps do not:</w:t>
      </w:r>
    </w:p>
    <w:p>
      <w:pPr>
        <w:pStyle w:val="ListParagraph"/>
        <w:numPr>
          <w:ilvl w:val="0"/>
          <w:numId w:val="2"/>
        </w:numPr>
        <w:spacing w:after="90" w:line="290"/>
      </w:pPr>
      <w:r>
        <w:rPr>
          <w:sz w:val="22"/>
          <w:szCs w:val="22"/>
        </w:rPr>
        <w:t xml:space="preserve">Translate a monthly figure into a daily decision-scale figure, continuously and automatically.</w:t>
      </w:r>
    </w:p>
    <w:p>
      <w:pPr>
        <w:pStyle w:val="ListParagraph"/>
        <w:numPr>
          <w:ilvl w:val="0"/>
          <w:numId w:val="2"/>
        </w:numPr>
        <w:spacing w:after="90" w:line="290"/>
      </w:pPr>
      <w:r>
        <w:rPr>
          <w:sz w:val="22"/>
          <w:szCs w:val="22"/>
        </w:rPr>
        <w:t xml:space="preserve">Prevent needs and wants from drawing on the same funds, so that deferral of a need is a deliberate choice rather than a passive default.</w:t>
      </w:r>
    </w:p>
    <w:p>
      <w:r>
        <w:br w:type="page"/>
      </w:r>
    </w:p>
    <w:p>
      <w:pPr>
        <w:pStyle w:val="Heading1"/>
        <w:spacing w:after="160" w:before="320"/>
      </w:pPr>
      <w:r>
        <w:t xml:space="preserve">Solution overview</w:t>
      </w:r>
    </w:p>
    <w:p>
      <w:pPr>
        <w:spacing w:after="140" w:line="300"/>
      </w:pPr>
      <w:r>
        <w:rPr>
          <w:color w:val="2C2C2A"/>
          <w:sz w:val="22"/>
          <w:szCs w:val="22"/>
        </w:rPr>
        <w:t xml:space="preserve">Pacer is built on three mechanics. Each is simple in isolation; the value is in the combination.</w:t>
      </w:r>
    </w:p>
    <w:p>
      <w:pPr>
        <w:pStyle w:val="Heading2"/>
        <w:spacing w:after="160" w:before="320"/>
      </w:pPr>
      <w:r>
        <w:t xml:space="preserve">Mechanic 1 — Allocation at source</w:t>
      </w:r>
    </w:p>
    <w:p>
      <w:pPr>
        <w:spacing w:after="140" w:line="300"/>
      </w:pPr>
      <w:r>
        <w:rPr>
          <w:color w:val="2C2C2A"/>
          <w:sz w:val="22"/>
          <w:szCs w:val="22"/>
        </w:rPr>
        <w:t xml:space="preserve">On income day the user performs a single allocation pass. Obligations are removed from the balance before any discretionary figure is calculated:</w:t>
      </w:r>
    </w:p>
    <w:p>
      <w:pPr>
        <w:pStyle w:val="ListParagraph"/>
        <w:numPr>
          <w:ilvl w:val="0"/>
          <w:numId w:val="3"/>
        </w:numPr>
        <w:spacing w:after="90" w:line="290"/>
      </w:pPr>
      <w:r>
        <w:rPr>
          <w:sz w:val="22"/>
          <w:szCs w:val="22"/>
        </w:rPr>
        <w:t xml:space="preserve">Family contribution — fixed, removed first, not visible as spendable</w:t>
      </w:r>
    </w:p>
    <w:p>
      <w:pPr>
        <w:pStyle w:val="ListParagraph"/>
        <w:numPr>
          <w:ilvl w:val="0"/>
          <w:numId w:val="3"/>
        </w:numPr>
        <w:spacing w:after="90" w:line="290"/>
      </w:pPr>
      <w:r>
        <w:rPr>
          <w:sz w:val="22"/>
          <w:szCs w:val="22"/>
        </w:rPr>
        <w:t xml:space="preserve">Savings — removed second, treated as a non-negotiable obligation rather than a residual</w:t>
      </w:r>
    </w:p>
    <w:p>
      <w:pPr>
        <w:pStyle w:val="ListParagraph"/>
        <w:numPr>
          <w:ilvl w:val="0"/>
          <w:numId w:val="3"/>
        </w:numPr>
        <w:spacing w:after="90" w:line="290"/>
      </w:pPr>
      <w:r>
        <w:rPr>
          <w:sz w:val="22"/>
          <w:szCs w:val="22"/>
        </w:rPr>
        <w:t xml:space="preserve">Fixed costs — rent, utilities, subscriptions, transport</w:t>
      </w:r>
    </w:p>
    <w:p>
      <w:pPr>
        <w:pStyle w:val="ListParagraph"/>
        <w:numPr>
          <w:ilvl w:val="0"/>
          <w:numId w:val="3"/>
        </w:numPr>
        <w:spacing w:after="90" w:line="290"/>
      </w:pPr>
      <w:r>
        <w:rPr>
          <w:sz w:val="22"/>
          <w:szCs w:val="22"/>
        </w:rPr>
        <w:t xml:space="preserve">Needs reserve — a standing allocation for deferred essential purchases (see Mechanic 3)</w:t>
      </w:r>
    </w:p>
    <w:p>
      <w:pPr>
        <w:spacing w:after="140" w:line="300"/>
      </w:pPr>
      <w:r>
        <w:rPr>
          <w:i/>
          <w:iCs/>
          <w:color w:val="2C2C2A"/>
          <w:sz w:val="22"/>
          <w:szCs w:val="22"/>
        </w:rPr>
        <w:t xml:space="preserve">Whatever remains is the discretionary pool. Critically, the user never again sees the gross figure — only the pool.</w:t>
      </w:r>
    </w:p>
    <w:p>
      <w:pPr>
        <w:pStyle w:val="Heading2"/>
        <w:spacing w:after="160" w:before="320"/>
      </w:pPr>
      <w:r>
        <w:t xml:space="preserve">Mechanic 2 — The daily number</w:t>
      </w:r>
    </w:p>
    <w:p>
      <w:pPr>
        <w:spacing w:after="140" w:line="300"/>
      </w:pPr>
      <w:r>
        <w:rPr>
          <w:color w:val="2C2C2A"/>
          <w:sz w:val="22"/>
          <w:szCs w:val="22"/>
        </w:rPr>
        <w:t xml:space="preserve">The discretionary pool is divided by the number of days remaining until the next income date. This produces one figure, displayed prominently, answering one question: how much can I spend today without consequence?</w:t>
      </w:r>
    </w:p>
    <w:p>
      <w:pPr>
        <w:spacing w:after="140" w:line="300"/>
      </w:pPr>
      <w:r>
        <w:rPr>
          <w:color w:val="2C2C2A"/>
          <w:sz w:val="22"/>
          <w:szCs w:val="22"/>
        </w:rPr>
        <w:t xml:space="preserve">Two rules govern its behaviour:</w:t>
      </w:r>
    </w:p>
    <w:p>
      <w:pPr>
        <w:pStyle w:val="ListParagraph"/>
        <w:numPr>
          <w:ilvl w:val="0"/>
          <w:numId w:val="3"/>
        </w:numPr>
        <w:spacing w:after="90" w:line="290"/>
      </w:pPr>
      <w:r>
        <w:rPr>
          <w:sz w:val="22"/>
          <w:szCs w:val="22"/>
        </w:rPr>
        <w:t xml:space="preserve">Underspend carries forward. Unspent allowance is not lost — it is transferred to the Want Fund at end of day. Restraint produces a visible, immediate gain.</w:t>
      </w:r>
    </w:p>
    <w:p>
      <w:pPr>
        <w:pStyle w:val="ListParagraph"/>
        <w:numPr>
          <w:ilvl w:val="0"/>
          <w:numId w:val="3"/>
        </w:numPr>
        <w:spacing w:after="90" w:line="290"/>
      </w:pPr>
      <w:r>
        <w:rPr>
          <w:sz w:val="22"/>
          <w:szCs w:val="22"/>
        </w:rPr>
        <w:t xml:space="preserve">Overspend is amortised, not punished. Excess spending is absorbed across all remaining days rather than deducted from a single day. The user sees the cost immediately and continues operating, rather than hitting zero mid-month.</w:t>
      </w:r>
    </w:p>
    <w:p>
      <w:pPr>
        <w:pStyle w:val="Heading2"/>
        <w:spacing w:after="160" w:before="320"/>
      </w:pPr>
      <w:r>
        <w:t xml:space="preserve">Mechanic 3 — Two queues, not one list</w:t>
      </w:r>
    </w:p>
    <w:p>
      <w:pPr>
        <w:spacing w:after="140" w:line="300"/>
      </w:pPr>
      <w:r>
        <w:rPr>
          <w:color w:val="2C2C2A"/>
          <w:sz w:val="22"/>
          <w:szCs w:val="22"/>
        </w:rPr>
        <w:t xml:space="preserve">Purchases are separated into two independent tracks with independent funding. This directly addresses the displacement failure.</w:t>
      </w:r>
    </w:p>
    <w:p>
      <w:pPr>
        <w:spacing w:after="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00"/>
      </w:tblGrid>
      <w:tr>
        <w:trPr>
          <w:cantSplit/>
          <w:tblHeader/>
        </w:trPr>
        <w:tc>
          <w:tcPr>
            <w:tcW w:type="dxa" w:w="1500"/>
            <w:shd w:fill="EFEDE6" w:color="auto" w:val="clear"/>
            <w:tcMar>
              <w:top w:type="dxa" w:w="120"/>
              <w:left w:type="dxa" w:w="140"/>
              <w:bottom w:type="dxa" w:w="120"/>
              <w:right w:type="dxa" w:w="140"/>
            </w:tcMar>
          </w:tcPr>
          <w:p>
            <w:pPr>
              <w:jc w:val="left"/>
            </w:pPr>
            <w:r>
              <w:rPr>
                <w:b/>
                <w:bCs/>
                <w:color w:val="1A1A18"/>
                <w:sz w:val="20"/>
                <w:szCs w:val="20"/>
              </w:rPr>
              <w:t xml:space="preserve"/>
            </w:r>
          </w:p>
        </w:tc>
        <w:tc>
          <w:tcPr>
            <w:tcW w:type="dxa" w:w="3300"/>
            <w:shd w:fill="EFEDE6" w:color="auto" w:val="clear"/>
            <w:tcMar>
              <w:top w:type="dxa" w:w="120"/>
              <w:left w:type="dxa" w:w="140"/>
              <w:bottom w:type="dxa" w:w="120"/>
              <w:right w:type="dxa" w:w="140"/>
            </w:tcMar>
          </w:tcPr>
          <w:p>
            <w:pPr>
              <w:jc w:val="left"/>
            </w:pPr>
            <w:r>
              <w:rPr>
                <w:b/>
                <w:bCs/>
                <w:color w:val="1A1A18"/>
                <w:sz w:val="20"/>
                <w:szCs w:val="20"/>
              </w:rPr>
              <w:t xml:space="preserve">Needs track</w:t>
            </w:r>
          </w:p>
        </w:tc>
        <w:tc>
          <w:tcPr>
            <w:tcW w:type="dxa" w:w="3300"/>
            <w:shd w:fill="EFEDE6" w:color="auto" w:val="clear"/>
            <w:tcMar>
              <w:top w:type="dxa" w:w="120"/>
              <w:left w:type="dxa" w:w="140"/>
              <w:bottom w:type="dxa" w:w="120"/>
              <w:right w:type="dxa" w:w="140"/>
            </w:tcMar>
          </w:tcPr>
          <w:p>
            <w:pPr>
              <w:jc w:val="left"/>
            </w:pPr>
            <w:r>
              <w:rPr>
                <w:b/>
                <w:bCs/>
                <w:color w:val="1A1A18"/>
                <w:sz w:val="20"/>
                <w:szCs w:val="20"/>
              </w:rPr>
              <w:t xml:space="preserve">Wants track</w:t>
            </w:r>
          </w:p>
        </w:tc>
      </w:tr>
      <w:tr>
        <w:trPr>
          <w:cantSplit/>
        </w:trPr>
        <w:tc>
          <w:tcPr>
            <w:tcW w:type="dxa" w:w="1500"/>
            <w:tcMar>
              <w:top w:type="dxa" w:w="120"/>
              <w:left w:type="dxa" w:w="140"/>
              <w:bottom w:type="dxa" w:w="120"/>
              <w:right w:type="dxa" w:w="140"/>
            </w:tcMar>
          </w:tcPr>
          <w:p>
            <w:pPr>
              <w:jc w:val="left"/>
            </w:pPr>
            <w:r>
              <w:rPr>
                <w:b w:val="false"/>
                <w:bCs w:val="false"/>
                <w:color w:val="2C2C2A"/>
                <w:sz w:val="20"/>
                <w:szCs w:val="20"/>
              </w:rPr>
              <w:t xml:space="preserve">Funding</w:t>
            </w:r>
          </w:p>
        </w:tc>
        <w:tc>
          <w:tcPr>
            <w:tcW w:type="dxa" w:w="3300"/>
            <w:tcMar>
              <w:top w:type="dxa" w:w="120"/>
              <w:left w:type="dxa" w:w="140"/>
              <w:bottom w:type="dxa" w:w="120"/>
              <w:right w:type="dxa" w:w="140"/>
            </w:tcMar>
          </w:tcPr>
          <w:p>
            <w:pPr>
              <w:jc w:val="left"/>
            </w:pPr>
            <w:r>
              <w:rPr>
                <w:b w:val="false"/>
                <w:bCs w:val="false"/>
                <w:color w:val="2C2C2A"/>
                <w:sz w:val="20"/>
                <w:szCs w:val="20"/>
              </w:rPr>
              <w:t xml:space="preserve">Standing monthly reserve, allocated at source</w:t>
            </w:r>
          </w:p>
        </w:tc>
        <w:tc>
          <w:tcPr>
            <w:tcW w:type="dxa" w:w="3300"/>
            <w:tcMar>
              <w:top w:type="dxa" w:w="120"/>
              <w:left w:type="dxa" w:w="140"/>
              <w:bottom w:type="dxa" w:w="120"/>
              <w:right w:type="dxa" w:w="140"/>
            </w:tcMar>
          </w:tcPr>
          <w:p>
            <w:pPr>
              <w:jc w:val="left"/>
            </w:pPr>
            <w:r>
              <w:rPr>
                <w:b w:val="false"/>
                <w:bCs w:val="false"/>
                <w:color w:val="2C2C2A"/>
                <w:sz w:val="20"/>
                <w:szCs w:val="20"/>
              </w:rPr>
              <w:t xml:space="preserve">Want Fund, accumulated from daily underspend</w:t>
            </w:r>
          </w:p>
        </w:tc>
      </w:tr>
      <w:tr>
        <w:trPr>
          <w:cantSplit/>
        </w:trPr>
        <w:tc>
          <w:tcPr>
            <w:tcW w:type="dxa" w:w="1500"/>
            <w:tcMar>
              <w:top w:type="dxa" w:w="120"/>
              <w:left w:type="dxa" w:w="140"/>
              <w:bottom w:type="dxa" w:w="120"/>
              <w:right w:type="dxa" w:w="140"/>
            </w:tcMar>
          </w:tcPr>
          <w:p>
            <w:pPr>
              <w:jc w:val="left"/>
            </w:pPr>
            <w:r>
              <w:rPr>
                <w:b w:val="false"/>
                <w:bCs w:val="false"/>
                <w:color w:val="2C2C2A"/>
                <w:sz w:val="20"/>
                <w:szCs w:val="20"/>
              </w:rPr>
              <w:t xml:space="preserve">Ordering</w:t>
            </w:r>
          </w:p>
        </w:tc>
        <w:tc>
          <w:tcPr>
            <w:tcW w:type="dxa" w:w="3300"/>
            <w:tcMar>
              <w:top w:type="dxa" w:w="120"/>
              <w:left w:type="dxa" w:w="140"/>
              <w:bottom w:type="dxa" w:w="120"/>
              <w:right w:type="dxa" w:w="140"/>
            </w:tcMar>
          </w:tcPr>
          <w:p>
            <w:pPr>
              <w:jc w:val="left"/>
            </w:pPr>
            <w:r>
              <w:rPr>
                <w:b w:val="false"/>
                <w:bCs w:val="false"/>
                <w:color w:val="2C2C2A"/>
                <w:sz w:val="20"/>
                <w:szCs w:val="20"/>
              </w:rPr>
              <w:t xml:space="preserve">By deadline or consequence of delay</w:t>
            </w:r>
          </w:p>
        </w:tc>
        <w:tc>
          <w:tcPr>
            <w:tcW w:type="dxa" w:w="3300"/>
            <w:tcMar>
              <w:top w:type="dxa" w:w="120"/>
              <w:left w:type="dxa" w:w="140"/>
              <w:bottom w:type="dxa" w:w="120"/>
              <w:right w:type="dxa" w:w="140"/>
            </w:tcMar>
          </w:tcPr>
          <w:p>
            <w:pPr>
              <w:jc w:val="left"/>
            </w:pPr>
            <w:r>
              <w:rPr>
                <w:b w:val="false"/>
                <w:bCs w:val="false"/>
                <w:color w:val="2C2C2A"/>
                <w:sz w:val="20"/>
                <w:szCs w:val="20"/>
              </w:rPr>
              <w:t xml:space="preserve">User-ranked, reorderable</w:t>
            </w:r>
          </w:p>
        </w:tc>
      </w:tr>
      <w:tr>
        <w:trPr>
          <w:cantSplit/>
        </w:trPr>
        <w:tc>
          <w:tcPr>
            <w:tcW w:type="dxa" w:w="1500"/>
            <w:tcMar>
              <w:top w:type="dxa" w:w="120"/>
              <w:left w:type="dxa" w:w="140"/>
              <w:bottom w:type="dxa" w:w="120"/>
              <w:right w:type="dxa" w:w="140"/>
            </w:tcMar>
          </w:tcPr>
          <w:p>
            <w:pPr>
              <w:jc w:val="left"/>
            </w:pPr>
            <w:r>
              <w:rPr>
                <w:b w:val="false"/>
                <w:bCs w:val="false"/>
                <w:color w:val="2C2C2A"/>
                <w:sz w:val="20"/>
                <w:szCs w:val="20"/>
              </w:rPr>
              <w:t xml:space="preserve">Deferral</w:t>
            </w:r>
          </w:p>
        </w:tc>
        <w:tc>
          <w:tcPr>
            <w:tcW w:type="dxa" w:w="3300"/>
            <w:tcMar>
              <w:top w:type="dxa" w:w="120"/>
              <w:left w:type="dxa" w:w="140"/>
              <w:bottom w:type="dxa" w:w="120"/>
              <w:right w:type="dxa" w:w="140"/>
            </w:tcMar>
          </w:tcPr>
          <w:p>
            <w:pPr>
              <w:jc w:val="left"/>
            </w:pPr>
            <w:r>
              <w:rPr>
                <w:b w:val="false"/>
                <w:bCs w:val="false"/>
                <w:color w:val="2C2C2A"/>
                <w:sz w:val="20"/>
                <w:szCs w:val="20"/>
              </w:rPr>
              <w:t xml:space="preserve">Requires explicit action and reason</w:t>
            </w:r>
          </w:p>
        </w:tc>
        <w:tc>
          <w:tcPr>
            <w:tcW w:type="dxa" w:w="3300"/>
            <w:tcMar>
              <w:top w:type="dxa" w:w="120"/>
              <w:left w:type="dxa" w:w="140"/>
              <w:bottom w:type="dxa" w:w="120"/>
              <w:right w:type="dxa" w:w="140"/>
            </w:tcMar>
          </w:tcPr>
          <w:p>
            <w:pPr>
              <w:jc w:val="left"/>
            </w:pPr>
            <w:r>
              <w:rPr>
                <w:b w:val="false"/>
                <w:bCs w:val="false"/>
                <w:color w:val="2C2C2A"/>
                <w:sz w:val="20"/>
                <w:szCs w:val="20"/>
              </w:rPr>
              <w:t xml:space="preserve">Passive — items simply wait</w:t>
            </w:r>
          </w:p>
        </w:tc>
      </w:tr>
      <w:tr>
        <w:trPr>
          <w:cantSplit/>
        </w:trPr>
        <w:tc>
          <w:tcPr>
            <w:tcW w:type="dxa" w:w="1500"/>
            <w:tcMar>
              <w:top w:type="dxa" w:w="120"/>
              <w:left w:type="dxa" w:w="140"/>
              <w:bottom w:type="dxa" w:w="120"/>
              <w:right w:type="dxa" w:w="140"/>
            </w:tcMar>
          </w:tcPr>
          <w:p>
            <w:pPr>
              <w:jc w:val="left"/>
            </w:pPr>
            <w:r>
              <w:rPr>
                <w:b w:val="false"/>
                <w:bCs w:val="false"/>
                <w:color w:val="2C2C2A"/>
                <w:sz w:val="20"/>
                <w:szCs w:val="20"/>
              </w:rPr>
              <w:t xml:space="preserve">Cooling-off</w:t>
            </w:r>
          </w:p>
        </w:tc>
        <w:tc>
          <w:tcPr>
            <w:tcW w:type="dxa" w:w="3300"/>
            <w:tcMar>
              <w:top w:type="dxa" w:w="120"/>
              <w:left w:type="dxa" w:w="140"/>
              <w:bottom w:type="dxa" w:w="120"/>
              <w:right w:type="dxa" w:w="140"/>
            </w:tcMar>
          </w:tcPr>
          <w:p>
            <w:pPr>
              <w:jc w:val="left"/>
            </w:pPr>
            <w:r>
              <w:rPr>
                <w:b w:val="false"/>
                <w:bCs w:val="false"/>
                <w:color w:val="2C2C2A"/>
                <w:sz w:val="20"/>
                <w:szCs w:val="20"/>
              </w:rPr>
              <w:t xml:space="preserve">None — needs are pre-validated</w:t>
            </w:r>
          </w:p>
        </w:tc>
        <w:tc>
          <w:tcPr>
            <w:tcW w:type="dxa" w:w="3300"/>
            <w:tcMar>
              <w:top w:type="dxa" w:w="120"/>
              <w:left w:type="dxa" w:w="140"/>
              <w:bottom w:type="dxa" w:w="120"/>
              <w:right w:type="dxa" w:w="140"/>
            </w:tcMar>
          </w:tcPr>
          <w:p>
            <w:pPr>
              <w:jc w:val="left"/>
            </w:pPr>
            <w:r>
              <w:rPr>
                <w:b w:val="false"/>
                <w:bCs w:val="false"/>
                <w:color w:val="2C2C2A"/>
                <w:sz w:val="20"/>
                <w:szCs w:val="20"/>
              </w:rPr>
              <w:t xml:space="preserve">Mandatory, scaled to item value</w:t>
            </w:r>
          </w:p>
        </w:tc>
      </w:tr>
      <w:tr>
        <w:trPr>
          <w:cantSplit/>
        </w:trPr>
        <w:tc>
          <w:tcPr>
            <w:tcW w:type="dxa" w:w="1500"/>
            <w:tcMar>
              <w:top w:type="dxa" w:w="120"/>
              <w:left w:type="dxa" w:w="140"/>
              <w:bottom w:type="dxa" w:w="120"/>
              <w:right w:type="dxa" w:w="140"/>
            </w:tcMar>
          </w:tcPr>
          <w:p>
            <w:pPr>
              <w:jc w:val="left"/>
            </w:pPr>
            <w:r>
              <w:rPr>
                <w:b w:val="false"/>
                <w:bCs w:val="false"/>
                <w:color w:val="2C2C2A"/>
                <w:sz w:val="20"/>
                <w:szCs w:val="20"/>
              </w:rPr>
              <w:t xml:space="preserve">Visibility</w:t>
            </w:r>
          </w:p>
        </w:tc>
        <w:tc>
          <w:tcPr>
            <w:tcW w:type="dxa" w:w="3300"/>
            <w:tcMar>
              <w:top w:type="dxa" w:w="120"/>
              <w:left w:type="dxa" w:w="140"/>
              <w:bottom w:type="dxa" w:w="120"/>
              <w:right w:type="dxa" w:w="140"/>
            </w:tcMar>
          </w:tcPr>
          <w:p>
            <w:pPr>
              <w:jc w:val="left"/>
            </w:pPr>
            <w:r>
              <w:rPr>
                <w:b w:val="false"/>
                <w:bCs w:val="false"/>
                <w:color w:val="2C2C2A"/>
                <w:sz w:val="20"/>
                <w:szCs w:val="20"/>
              </w:rPr>
              <w:t xml:space="preserve">Surfaced when funded or overdue</w:t>
            </w:r>
          </w:p>
        </w:tc>
        <w:tc>
          <w:tcPr>
            <w:tcW w:type="dxa" w:w="3300"/>
            <w:tcMar>
              <w:top w:type="dxa" w:w="120"/>
              <w:left w:type="dxa" w:w="140"/>
              <w:bottom w:type="dxa" w:w="120"/>
              <w:right w:type="dxa" w:w="140"/>
            </w:tcMar>
          </w:tcPr>
          <w:p>
            <w:pPr>
              <w:jc w:val="left"/>
            </w:pPr>
            <w:r>
              <w:rPr>
                <w:b w:val="false"/>
                <w:bCs w:val="false"/>
                <w:color w:val="2C2C2A"/>
                <w:sz w:val="20"/>
                <w:szCs w:val="20"/>
              </w:rPr>
              <w:t xml:space="preserve">Shown with projected purchase date</w:t>
            </w:r>
          </w:p>
        </w:tc>
      </w:tr>
    </w:tbl>
    <w:p>
      <w:pPr>
        <w:spacing w:after="200"/>
      </w:pPr>
    </w:p>
    <w:p>
      <w:pPr>
        <w:spacing w:after="140" w:line="300"/>
      </w:pPr>
      <w:r>
        <w:rPr>
          <w:color w:val="2C2C2A"/>
          <w:sz w:val="22"/>
          <w:szCs w:val="22"/>
        </w:rPr>
        <w:t xml:space="preserve">Because the two tracks draw on separate funds, an impulse purchase can never delay a needed one. The only way to defer a need is to deliberately do so, which requires acknowledging the trade-off explicitly.</w:t>
      </w:r>
    </w:p>
    <w:p>
      <w:pPr>
        <w:pStyle w:val="Heading1"/>
        <w:spacing w:after="160" w:before="320"/>
      </w:pPr>
      <w:r>
        <w:t xml:space="preserve">Prioritisation design</w:t>
      </w:r>
    </w:p>
    <w:p>
      <w:pPr>
        <w:spacing w:after="140" w:line="300"/>
      </w:pPr>
      <w:r>
        <w:rPr>
          <w:color w:val="2C2C2A"/>
          <w:sz w:val="22"/>
          <w:szCs w:val="22"/>
        </w:rPr>
        <w:t xml:space="preserve">Conventional priority labels — high, medium, low, or star ratings — degrade rapidly. Everything becomes high priority, and the field stops carrying information. Pacer uses two mechanics instead.</w:t>
      </w:r>
    </w:p>
    <w:p>
      <w:pPr>
        <w:pStyle w:val="Heading2"/>
        <w:spacing w:after="160" w:before="320"/>
      </w:pPr>
      <w:r>
        <w:t xml:space="preserve">Cost expressed in time, not importance</w:t>
      </w:r>
    </w:p>
    <w:p>
      <w:pPr>
        <w:spacing w:after="140" w:line="300"/>
      </w:pPr>
      <w:r>
        <w:rPr>
          <w:color w:val="2C2C2A"/>
          <w:sz w:val="22"/>
          <w:szCs w:val="22"/>
        </w:rPr>
        <w:t xml:space="preserve">The user ranks items in an ordered queue. The system then displays the consequence of each position: purchasing an item now moves every item below it back by a calculable number of days, based on the current rate of fund accumulation.</w:t>
      </w:r>
    </w:p>
    <w:p>
      <w:pPr>
        <w:spacing w:after="140" w:line="300"/>
      </w:pPr>
      <w:r>
        <w:rPr>
          <w:color w:val="2C2C2A"/>
          <w:sz w:val="22"/>
          <w:szCs w:val="22"/>
        </w:rPr>
        <w:t xml:space="preserve">This reframes prioritisation from an abstract judgement into a concrete, comparable trade-off. "Is this more important?" is unanswerable. "Is this worth delaying that by nineteen days?" is answerable.</w:t>
      </w:r>
    </w:p>
    <w:p>
      <w:pPr>
        <w:pStyle w:val="Heading2"/>
        <w:spacing w:after="160" w:before="320"/>
      </w:pPr>
      <w:r>
        <w:t xml:space="preserve">Mandatory cooling-off</w:t>
      </w:r>
    </w:p>
    <w:p>
      <w:pPr>
        <w:spacing w:after="140" w:line="300"/>
      </w:pPr>
      <w:r>
        <w:rPr>
          <w:color w:val="2C2C2A"/>
          <w:sz w:val="22"/>
          <w:szCs w:val="22"/>
        </w:rPr>
        <w:t xml:space="preserve">Items added to the Wants track are locked for a period scaled to their value — for example, seven days for small items, longer for significant ones. During this window the item accrues funding but cannot be marked as purchased.</w:t>
      </w:r>
    </w:p>
    <w:p>
      <w:pPr>
        <w:spacing w:after="140" w:line="300"/>
      </w:pPr>
      <w:r>
        <w:rPr>
          <w:color w:val="2C2C2A"/>
          <w:sz w:val="22"/>
          <w:szCs w:val="22"/>
        </w:rPr>
        <w:t xml:space="preserve">The system therefore cannot be used to execute an impulse; it can only be used to record one. A substantial proportion of impulses do not survive the waiting period, and those that do have demonstrated persistence.</w:t>
      </w:r>
    </w:p>
    <w:p>
      <w:pPr>
        <w:pStyle w:val="Heading2"/>
        <w:spacing w:after="160" w:before="320"/>
      </w:pPr>
      <w:r>
        <w:t xml:space="preserve">Queue decay</w:t>
      </w:r>
    </w:p>
    <w:p>
      <w:pPr>
        <w:spacing w:after="140" w:line="300"/>
      </w:pPr>
      <w:r>
        <w:rPr>
          <w:color w:val="2C2C2A"/>
          <w:sz w:val="22"/>
          <w:szCs w:val="22"/>
        </w:rPr>
        <w:t xml:space="preserve">Items untouched beyond a set period trigger a review prompt. This prevents the queue from accumulating dead entries and losing credibility as a planning instrument.</w:t>
      </w:r>
    </w:p>
    <w:p>
      <w:pPr>
        <w:pStyle w:val="Heading1"/>
        <w:spacing w:after="160" w:before="320"/>
      </w:pPr>
      <w:r>
        <w:t xml:space="preserve">Scope</w:t>
      </w:r>
    </w:p>
    <w:p>
      <w:pPr>
        <w:pStyle w:val="Heading2"/>
        <w:spacing w:after="160" w:before="320"/>
      </w:pPr>
      <w:r>
        <w:t xml:space="preserve">In scope for version 1</w:t>
      </w:r>
    </w:p>
    <w:p>
      <w:pPr>
        <w:pStyle w:val="ListParagraph"/>
        <w:numPr>
          <w:ilvl w:val="0"/>
          <w:numId w:val="3"/>
        </w:numPr>
        <w:spacing w:after="90" w:line="290"/>
      </w:pPr>
      <w:r>
        <w:rPr>
          <w:sz w:val="22"/>
          <w:szCs w:val="22"/>
        </w:rPr>
        <w:t xml:space="preserve">Income-day allocation flow with persisted allocation template</w:t>
      </w:r>
    </w:p>
    <w:p>
      <w:pPr>
        <w:pStyle w:val="ListParagraph"/>
        <w:numPr>
          <w:ilvl w:val="0"/>
          <w:numId w:val="3"/>
        </w:numPr>
        <w:spacing w:after="90" w:line="290"/>
      </w:pPr>
      <w:r>
        <w:rPr>
          <w:sz w:val="22"/>
          <w:szCs w:val="22"/>
        </w:rPr>
        <w:t xml:space="preserve">Daily allowance calculation with carry-forward and amortised overspend</w:t>
      </w:r>
    </w:p>
    <w:p>
      <w:pPr>
        <w:pStyle w:val="ListParagraph"/>
        <w:numPr>
          <w:ilvl w:val="0"/>
          <w:numId w:val="3"/>
        </w:numPr>
        <w:spacing w:after="90" w:line="290"/>
      </w:pPr>
      <w:r>
        <w:rPr>
          <w:sz w:val="22"/>
          <w:szCs w:val="22"/>
        </w:rPr>
        <w:t xml:space="preserve">Fast expense capture — amount plus optional free-text note</w:t>
      </w:r>
    </w:p>
    <w:p>
      <w:pPr>
        <w:pStyle w:val="ListParagraph"/>
        <w:numPr>
          <w:ilvl w:val="0"/>
          <w:numId w:val="3"/>
        </w:numPr>
        <w:spacing w:after="90" w:line="290"/>
      </w:pPr>
      <w:r>
        <w:rPr>
          <w:sz w:val="22"/>
          <w:szCs w:val="22"/>
        </w:rPr>
        <w:t xml:space="preserve">Needs track with reserve funding and deadline ordering</w:t>
      </w:r>
    </w:p>
    <w:p>
      <w:pPr>
        <w:pStyle w:val="ListParagraph"/>
        <w:numPr>
          <w:ilvl w:val="0"/>
          <w:numId w:val="3"/>
        </w:numPr>
        <w:spacing w:after="90" w:line="290"/>
      </w:pPr>
      <w:r>
        <w:rPr>
          <w:sz w:val="22"/>
          <w:szCs w:val="22"/>
        </w:rPr>
        <w:t xml:space="preserve">Wants track with ranked queue, projected dates, and cooling-off</w:t>
      </w:r>
    </w:p>
    <w:p>
      <w:pPr>
        <w:pStyle w:val="ListParagraph"/>
        <w:numPr>
          <w:ilvl w:val="0"/>
          <w:numId w:val="3"/>
        </w:numPr>
        <w:spacing w:after="90" w:line="290"/>
      </w:pPr>
      <w:r>
        <w:rPr>
          <w:sz w:val="22"/>
          <w:szCs w:val="22"/>
        </w:rPr>
        <w:t xml:space="preserve">Month-end review summary</w:t>
      </w:r>
    </w:p>
    <w:p>
      <w:pPr>
        <w:pStyle w:val="ListParagraph"/>
        <w:numPr>
          <w:ilvl w:val="0"/>
          <w:numId w:val="3"/>
        </w:numPr>
        <w:spacing w:after="90" w:line="290"/>
      </w:pPr>
      <w:r>
        <w:rPr>
          <w:sz w:val="22"/>
          <w:szCs w:val="22"/>
        </w:rPr>
        <w:t xml:space="preserve">Telegram bot as primary capture surface</w:t>
      </w:r>
    </w:p>
    <w:p>
      <w:pPr>
        <w:pStyle w:val="Heading2"/>
        <w:spacing w:after="160" w:before="320"/>
      </w:pPr>
      <w:r>
        <w:t xml:space="preserve">Explicitly out of scope for version 1</w:t>
      </w:r>
    </w:p>
    <w:p>
      <w:pPr>
        <w:spacing w:after="140" w:line="300"/>
      </w:pPr>
      <w:r>
        <w:rPr>
          <w:color w:val="2C2C2A"/>
          <w:sz w:val="22"/>
          <w:szCs w:val="22"/>
        </w:rPr>
        <w:t xml:space="preserve">The following are deferred deliberately. Each is defensible in isolation and collectively they would obscure whether the core mechanic works.</w:t>
      </w:r>
    </w:p>
    <w:p>
      <w:pPr>
        <w:pStyle w:val="ListParagraph"/>
        <w:numPr>
          <w:ilvl w:val="0"/>
          <w:numId w:val="3"/>
        </w:numPr>
        <w:spacing w:after="90" w:line="290"/>
      </w:pPr>
      <w:r>
        <w:rPr>
          <w:sz w:val="22"/>
          <w:szCs w:val="22"/>
        </w:rPr>
        <w:t xml:space="preserve">Spending categories and category-based reporting</w:t>
      </w:r>
    </w:p>
    <w:p>
      <w:pPr>
        <w:pStyle w:val="ListParagraph"/>
        <w:numPr>
          <w:ilvl w:val="0"/>
          <w:numId w:val="3"/>
        </w:numPr>
        <w:spacing w:after="90" w:line="290"/>
      </w:pPr>
      <w:r>
        <w:rPr>
          <w:sz w:val="22"/>
          <w:szCs w:val="22"/>
        </w:rPr>
        <w:t xml:space="preserve">Bank or wallet integration and automatic transaction import</w:t>
      </w:r>
    </w:p>
    <w:p>
      <w:pPr>
        <w:pStyle w:val="ListParagraph"/>
        <w:numPr>
          <w:ilvl w:val="0"/>
          <w:numId w:val="3"/>
        </w:numPr>
        <w:spacing w:after="90" w:line="290"/>
      </w:pPr>
      <w:r>
        <w:rPr>
          <w:sz w:val="22"/>
          <w:szCs w:val="22"/>
        </w:rPr>
        <w:t xml:space="preserve">Multi-currency support</w:t>
      </w:r>
    </w:p>
    <w:p>
      <w:pPr>
        <w:pStyle w:val="ListParagraph"/>
        <w:numPr>
          <w:ilvl w:val="0"/>
          <w:numId w:val="3"/>
        </w:numPr>
        <w:spacing w:after="90" w:line="290"/>
      </w:pPr>
      <w:r>
        <w:rPr>
          <w:sz w:val="22"/>
          <w:szCs w:val="22"/>
        </w:rPr>
        <w:t xml:space="preserve">Shared or household accounts</w:t>
      </w:r>
    </w:p>
    <w:p>
      <w:pPr>
        <w:pStyle w:val="ListParagraph"/>
        <w:numPr>
          <w:ilvl w:val="0"/>
          <w:numId w:val="3"/>
        </w:numPr>
        <w:spacing w:after="90" w:line="290"/>
      </w:pPr>
      <w:r>
        <w:rPr>
          <w:sz w:val="22"/>
          <w:szCs w:val="22"/>
        </w:rPr>
        <w:t xml:space="preserve">Gamification — streaks, badges, scores</w:t>
      </w:r>
    </w:p>
    <w:p>
      <w:pPr>
        <w:pStyle w:val="ListParagraph"/>
        <w:numPr>
          <w:ilvl w:val="0"/>
          <w:numId w:val="3"/>
        </w:numPr>
        <w:spacing w:after="90" w:line="290"/>
      </w:pPr>
      <w:r>
        <w:rPr>
          <w:sz w:val="22"/>
          <w:szCs w:val="22"/>
        </w:rPr>
        <w:t xml:space="preserve">Debt tracking and amortisation</w:t>
      </w:r>
    </w:p>
    <w:p>
      <w:r>
        <w:br w:type="page"/>
      </w:r>
    </w:p>
    <w:p>
      <w:pPr>
        <w:pStyle w:val="Heading1"/>
        <w:spacing w:after="160" w:before="320"/>
      </w:pPr>
      <w:r>
        <w:t xml:space="preserve">Technical approach</w:t>
      </w:r>
    </w:p>
    <w:p>
      <w:pPr>
        <w:spacing w:after="140" w:line="300"/>
      </w:pPr>
      <w:r>
        <w:rPr>
          <w:color w:val="2C2C2A"/>
          <w:sz w:val="22"/>
          <w:szCs w:val="22"/>
        </w:rPr>
        <w:t xml:space="preserve">The system is designed from the outset for three client surfaces sharing one backend. All business logic — allocation, daily calculation, fund accrual, queue projection — resides server-side. Clients are presentation only.</w:t>
      </w:r>
    </w:p>
    <w:p>
      <w:pPr>
        <w:spacing w:after="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100"/>
      </w:tblGrid>
      <w:tr>
        <w:trPr>
          <w:cantSplit/>
          <w:tblHeader/>
        </w:trPr>
        <w:tc>
          <w:tcPr>
            <w:tcW w:type="dxa" w:w="1600"/>
            <w:shd w:fill="EFEDE6" w:color="auto" w:val="clear"/>
            <w:tcMar>
              <w:top w:type="dxa" w:w="120"/>
              <w:left w:type="dxa" w:w="140"/>
              <w:bottom w:type="dxa" w:w="120"/>
              <w:right w:type="dxa" w:w="140"/>
            </w:tcMar>
          </w:tcPr>
          <w:p>
            <w:pPr>
              <w:jc w:val="left"/>
            </w:pPr>
            <w:r>
              <w:rPr>
                <w:b/>
                <w:bCs/>
                <w:color w:val="1A1A18"/>
                <w:sz w:val="20"/>
                <w:szCs w:val="20"/>
              </w:rPr>
              <w:t xml:space="preserve">Layer</w:t>
            </w:r>
          </w:p>
        </w:tc>
        <w:tc>
          <w:tcPr>
            <w:tcW w:type="dxa" w:w="2400"/>
            <w:shd w:fill="EFEDE6" w:color="auto" w:val="clear"/>
            <w:tcMar>
              <w:top w:type="dxa" w:w="120"/>
              <w:left w:type="dxa" w:w="140"/>
              <w:bottom w:type="dxa" w:w="120"/>
              <w:right w:type="dxa" w:w="140"/>
            </w:tcMar>
          </w:tcPr>
          <w:p>
            <w:pPr>
              <w:jc w:val="left"/>
            </w:pPr>
            <w:r>
              <w:rPr>
                <w:b/>
                <w:bCs/>
                <w:color w:val="1A1A18"/>
                <w:sz w:val="20"/>
                <w:szCs w:val="20"/>
              </w:rPr>
              <w:t xml:space="preserve">Technology</w:t>
            </w:r>
          </w:p>
        </w:tc>
        <w:tc>
          <w:tcPr>
            <w:tcW w:type="dxa" w:w="4100"/>
            <w:shd w:fill="EFEDE6" w:color="auto" w:val="clear"/>
            <w:tcMar>
              <w:top w:type="dxa" w:w="120"/>
              <w:left w:type="dxa" w:w="140"/>
              <w:bottom w:type="dxa" w:w="120"/>
              <w:right w:type="dxa" w:w="140"/>
            </w:tcMar>
          </w:tcPr>
          <w:p>
            <w:pPr>
              <w:jc w:val="left"/>
            </w:pPr>
            <w:r>
              <w:rPr>
                <w:b/>
                <w:bCs/>
                <w:color w:val="1A1A18"/>
                <w:sz w:val="20"/>
                <w:szCs w:val="20"/>
              </w:rPr>
              <w:t xml:space="preserve">Rationale</w:t>
            </w:r>
          </w:p>
        </w:tc>
      </w:tr>
      <w:tr>
        <w:trPr>
          <w:cantSplit/>
        </w:trPr>
        <w:tc>
          <w:tcPr>
            <w:tcW w:type="dxa" w:w="1600"/>
            <w:tcMar>
              <w:top w:type="dxa" w:w="120"/>
              <w:left w:type="dxa" w:w="140"/>
              <w:bottom w:type="dxa" w:w="120"/>
              <w:right w:type="dxa" w:w="140"/>
            </w:tcMar>
          </w:tcPr>
          <w:p>
            <w:pPr>
              <w:jc w:val="left"/>
            </w:pPr>
            <w:r>
              <w:rPr>
                <w:b w:val="false"/>
                <w:bCs w:val="false"/>
                <w:color w:val="2C2C2A"/>
                <w:sz w:val="20"/>
                <w:szCs w:val="20"/>
              </w:rPr>
              <w:t xml:space="preserve">Frontend</w:t>
            </w:r>
          </w:p>
        </w:tc>
        <w:tc>
          <w:tcPr>
            <w:tcW w:type="dxa" w:w="2400"/>
            <w:tcMar>
              <w:top w:type="dxa" w:w="120"/>
              <w:left w:type="dxa" w:w="140"/>
              <w:bottom w:type="dxa" w:w="120"/>
              <w:right w:type="dxa" w:w="140"/>
            </w:tcMar>
          </w:tcPr>
          <w:p>
            <w:pPr>
              <w:jc w:val="left"/>
            </w:pPr>
            <w:r>
              <w:rPr>
                <w:b w:val="false"/>
                <w:bCs w:val="false"/>
                <w:color w:val="2C2C2A"/>
                <w:sz w:val="20"/>
                <w:szCs w:val="20"/>
              </w:rPr>
              <w:t xml:space="preserve">Next.js, React, TypeScript</w:t>
            </w:r>
          </w:p>
        </w:tc>
        <w:tc>
          <w:tcPr>
            <w:tcW w:type="dxa" w:w="4100"/>
            <w:tcMar>
              <w:top w:type="dxa" w:w="120"/>
              <w:left w:type="dxa" w:w="140"/>
              <w:bottom w:type="dxa" w:w="120"/>
              <w:right w:type="dxa" w:w="140"/>
            </w:tcMar>
          </w:tcPr>
          <w:p>
            <w:pPr>
              <w:jc w:val="left"/>
            </w:pPr>
            <w:r>
              <w:rPr>
                <w:b w:val="false"/>
                <w:bCs w:val="false"/>
                <w:color w:val="2C2C2A"/>
                <w:sz w:val="20"/>
                <w:szCs w:val="20"/>
              </w:rPr>
              <w:t xml:space="preserve">Shares types and API client with a future React Native application</w:t>
            </w:r>
          </w:p>
        </w:tc>
      </w:tr>
      <w:tr>
        <w:trPr>
          <w:cantSplit/>
        </w:trPr>
        <w:tc>
          <w:tcPr>
            <w:tcW w:type="dxa" w:w="1600"/>
            <w:tcMar>
              <w:top w:type="dxa" w:w="120"/>
              <w:left w:type="dxa" w:w="140"/>
              <w:bottom w:type="dxa" w:w="120"/>
              <w:right w:type="dxa" w:w="140"/>
            </w:tcMar>
          </w:tcPr>
          <w:p>
            <w:pPr>
              <w:jc w:val="left"/>
            </w:pPr>
            <w:r>
              <w:rPr>
                <w:b w:val="false"/>
                <w:bCs w:val="false"/>
                <w:color w:val="2C2C2A"/>
                <w:sz w:val="20"/>
                <w:szCs w:val="20"/>
              </w:rPr>
              <w:t xml:space="preserve">Backend</w:t>
            </w:r>
          </w:p>
        </w:tc>
        <w:tc>
          <w:tcPr>
            <w:tcW w:type="dxa" w:w="2400"/>
            <w:tcMar>
              <w:top w:type="dxa" w:w="120"/>
              <w:left w:type="dxa" w:w="140"/>
              <w:bottom w:type="dxa" w:w="120"/>
              <w:right w:type="dxa" w:w="140"/>
            </w:tcMar>
          </w:tcPr>
          <w:p>
            <w:pPr>
              <w:jc w:val="left"/>
            </w:pPr>
            <w:r>
              <w:rPr>
                <w:b w:val="false"/>
                <w:bCs w:val="false"/>
                <w:color w:val="2C2C2A"/>
                <w:sz w:val="20"/>
                <w:szCs w:val="20"/>
              </w:rPr>
              <w:t xml:space="preserve">Next.js API routes</w:t>
            </w:r>
          </w:p>
        </w:tc>
        <w:tc>
          <w:tcPr>
            <w:tcW w:type="dxa" w:w="4100"/>
            <w:tcMar>
              <w:top w:type="dxa" w:w="120"/>
              <w:left w:type="dxa" w:w="140"/>
              <w:bottom w:type="dxa" w:w="120"/>
              <w:right w:type="dxa" w:w="140"/>
            </w:tcMar>
          </w:tcPr>
          <w:p>
            <w:pPr>
              <w:jc w:val="left"/>
            </w:pPr>
            <w:r>
              <w:rPr>
                <w:b w:val="false"/>
                <w:bCs w:val="false"/>
                <w:color w:val="2C2C2A"/>
                <w:sz w:val="20"/>
                <w:szCs w:val="20"/>
              </w:rPr>
              <w:t xml:space="preserve">Single deployment unit; can be extracted to a standalone service without client changes</w:t>
            </w:r>
          </w:p>
        </w:tc>
      </w:tr>
      <w:tr>
        <w:trPr>
          <w:cantSplit/>
        </w:trPr>
        <w:tc>
          <w:tcPr>
            <w:tcW w:type="dxa" w:w="1600"/>
            <w:tcMar>
              <w:top w:type="dxa" w:w="120"/>
              <w:left w:type="dxa" w:w="140"/>
              <w:bottom w:type="dxa" w:w="120"/>
              <w:right w:type="dxa" w:w="140"/>
            </w:tcMar>
          </w:tcPr>
          <w:p>
            <w:pPr>
              <w:jc w:val="left"/>
            </w:pPr>
            <w:r>
              <w:rPr>
                <w:b w:val="false"/>
                <w:bCs w:val="false"/>
                <w:color w:val="2C2C2A"/>
                <w:sz w:val="20"/>
                <w:szCs w:val="20"/>
              </w:rPr>
              <w:t xml:space="preserve">Database</w:t>
            </w:r>
          </w:p>
        </w:tc>
        <w:tc>
          <w:tcPr>
            <w:tcW w:type="dxa" w:w="2400"/>
            <w:tcMar>
              <w:top w:type="dxa" w:w="120"/>
              <w:left w:type="dxa" w:w="140"/>
              <w:bottom w:type="dxa" w:w="120"/>
              <w:right w:type="dxa" w:w="140"/>
            </w:tcMar>
          </w:tcPr>
          <w:p>
            <w:pPr>
              <w:jc w:val="left"/>
            </w:pPr>
            <w:r>
              <w:rPr>
                <w:b w:val="false"/>
                <w:bCs w:val="false"/>
                <w:color w:val="2C2C2A"/>
                <w:sz w:val="20"/>
                <w:szCs w:val="20"/>
              </w:rPr>
              <w:t xml:space="preserve">PostgreSQL (managed)</w:t>
            </w:r>
          </w:p>
        </w:tc>
        <w:tc>
          <w:tcPr>
            <w:tcW w:type="dxa" w:w="4100"/>
            <w:tcMar>
              <w:top w:type="dxa" w:w="120"/>
              <w:left w:type="dxa" w:w="140"/>
              <w:bottom w:type="dxa" w:w="120"/>
              <w:right w:type="dxa" w:w="140"/>
            </w:tcMar>
          </w:tcPr>
          <w:p>
            <w:pPr>
              <w:jc w:val="left"/>
            </w:pPr>
            <w:r>
              <w:rPr>
                <w:b w:val="false"/>
                <w:bCs w:val="false"/>
                <w:color w:val="2C2C2A"/>
                <w:sz w:val="20"/>
                <w:szCs w:val="20"/>
              </w:rPr>
              <w:t xml:space="preserve">Relational integrity for financial records; managed auth available</w:t>
            </w:r>
          </w:p>
        </w:tc>
      </w:tr>
      <w:tr>
        <w:trPr>
          <w:cantSplit/>
        </w:trPr>
        <w:tc>
          <w:tcPr>
            <w:tcW w:type="dxa" w:w="1600"/>
            <w:tcMar>
              <w:top w:type="dxa" w:w="120"/>
              <w:left w:type="dxa" w:w="140"/>
              <w:bottom w:type="dxa" w:w="120"/>
              <w:right w:type="dxa" w:w="140"/>
            </w:tcMar>
          </w:tcPr>
          <w:p>
            <w:pPr>
              <w:jc w:val="left"/>
            </w:pPr>
            <w:r>
              <w:rPr>
                <w:b w:val="false"/>
                <w:bCs w:val="false"/>
                <w:color w:val="2C2C2A"/>
                <w:sz w:val="20"/>
                <w:szCs w:val="20"/>
              </w:rPr>
              <w:t xml:space="preserve">Bot</w:t>
            </w:r>
          </w:p>
        </w:tc>
        <w:tc>
          <w:tcPr>
            <w:tcW w:type="dxa" w:w="2400"/>
            <w:tcMar>
              <w:top w:type="dxa" w:w="120"/>
              <w:left w:type="dxa" w:w="140"/>
              <w:bottom w:type="dxa" w:w="120"/>
              <w:right w:type="dxa" w:w="140"/>
            </w:tcMar>
          </w:tcPr>
          <w:p>
            <w:pPr>
              <w:jc w:val="left"/>
            </w:pPr>
            <w:r>
              <w:rPr>
                <w:b w:val="false"/>
                <w:bCs w:val="false"/>
                <w:color w:val="2C2C2A"/>
                <w:sz w:val="20"/>
                <w:szCs w:val="20"/>
              </w:rPr>
              <w:t xml:space="preserve">grammY (TypeScript)</w:t>
            </w:r>
          </w:p>
        </w:tc>
        <w:tc>
          <w:tcPr>
            <w:tcW w:type="dxa" w:w="4100"/>
            <w:tcMar>
              <w:top w:type="dxa" w:w="120"/>
              <w:left w:type="dxa" w:w="140"/>
              <w:bottom w:type="dxa" w:w="120"/>
              <w:right w:type="dxa" w:w="140"/>
            </w:tcMar>
          </w:tcPr>
          <w:p>
            <w:pPr>
              <w:jc w:val="left"/>
            </w:pPr>
            <w:r>
              <w:rPr>
                <w:b w:val="false"/>
                <w:bCs w:val="false"/>
                <w:color w:val="2C2C2A"/>
                <w:sz w:val="20"/>
                <w:szCs w:val="20"/>
              </w:rPr>
              <w:t xml:space="preserve">Same language and shared types as backend; consumes the same API</w:t>
            </w:r>
          </w:p>
        </w:tc>
      </w:tr>
      <w:tr>
        <w:trPr>
          <w:cantSplit/>
        </w:trPr>
        <w:tc>
          <w:tcPr>
            <w:tcW w:type="dxa" w:w="1600"/>
            <w:tcMar>
              <w:top w:type="dxa" w:w="120"/>
              <w:left w:type="dxa" w:w="140"/>
              <w:bottom w:type="dxa" w:w="120"/>
              <w:right w:type="dxa" w:w="140"/>
            </w:tcMar>
          </w:tcPr>
          <w:p>
            <w:pPr>
              <w:jc w:val="left"/>
            </w:pPr>
            <w:r>
              <w:rPr>
                <w:b w:val="false"/>
                <w:bCs w:val="false"/>
                <w:color w:val="2C2C2A"/>
                <w:sz w:val="20"/>
                <w:szCs w:val="20"/>
              </w:rPr>
              <w:t xml:space="preserve">Mobile</w:t>
            </w:r>
          </w:p>
        </w:tc>
        <w:tc>
          <w:tcPr>
            <w:tcW w:type="dxa" w:w="2400"/>
            <w:tcMar>
              <w:top w:type="dxa" w:w="120"/>
              <w:left w:type="dxa" w:w="140"/>
              <w:bottom w:type="dxa" w:w="120"/>
              <w:right w:type="dxa" w:w="140"/>
            </w:tcMar>
          </w:tcPr>
          <w:p>
            <w:pPr>
              <w:jc w:val="left"/>
            </w:pPr>
            <w:r>
              <w:rPr>
                <w:b w:val="false"/>
                <w:bCs w:val="false"/>
                <w:color w:val="2C2C2A"/>
                <w:sz w:val="20"/>
                <w:szCs w:val="20"/>
              </w:rPr>
              <w:t xml:space="preserve">PWA initially; React Native if required</w:t>
            </w:r>
          </w:p>
        </w:tc>
        <w:tc>
          <w:tcPr>
            <w:tcW w:type="dxa" w:w="4100"/>
            <w:tcMar>
              <w:top w:type="dxa" w:w="120"/>
              <w:left w:type="dxa" w:w="140"/>
              <w:bottom w:type="dxa" w:w="120"/>
              <w:right w:type="dxa" w:w="140"/>
            </w:tcMar>
          </w:tcPr>
          <w:p>
            <w:pPr>
              <w:jc w:val="left"/>
            </w:pPr>
            <w:r>
              <w:rPr>
                <w:b w:val="false"/>
                <w:bCs w:val="false"/>
                <w:color w:val="2C2C2A"/>
                <w:sz w:val="20"/>
                <w:szCs w:val="20"/>
              </w:rPr>
              <w:t xml:space="preserve">Avoids app store overhead until demand is demonstrated</w:t>
            </w:r>
          </w:p>
        </w:tc>
      </w:tr>
    </w:tbl>
    <w:p>
      <w:pPr>
        <w:spacing w:after="200"/>
      </w:pPr>
    </w:p>
    <w:p>
      <w:pPr>
        <w:pStyle w:val="Heading2"/>
        <w:spacing w:after="160" w:before="320"/>
      </w:pPr>
      <w:r>
        <w:t xml:space="preserve">Critical early decision</w:t>
      </w:r>
    </w:p>
    <w:p>
      <w:pPr>
        <w:spacing w:after="140" w:line="300"/>
      </w:pPr>
      <w:r>
        <w:rPr>
          <w:color w:val="2C2C2A"/>
          <w:sz w:val="22"/>
          <w:szCs w:val="22"/>
        </w:rPr>
        <w:t xml:space="preserve">Identity must be platform-independent from the first commit. A single user record links both a web credential and a Telegram identifier, associated once through a linking flow. Retrofitting this after launch requires a data migration and is the most common structural failure in multi-surface products of this type.</w:t>
      </w:r>
    </w:p>
    <w:p>
      <w:pPr>
        <w:pStyle w:val="Heading2"/>
        <w:spacing w:after="160" w:before="320"/>
      </w:pPr>
      <w:r>
        <w:t xml:space="preserve">Interaction split</w:t>
      </w:r>
    </w:p>
    <w:p>
      <w:pPr>
        <w:spacing w:after="140" w:line="300"/>
      </w:pPr>
      <w:r>
        <w:rPr>
          <w:color w:val="2C2C2A"/>
          <w:sz w:val="22"/>
          <w:szCs w:val="22"/>
        </w:rPr>
        <w:t xml:space="preserve">The Telegram bot is not a notification channel; it is the primary input surface. Expense capture fails when it requires opening an application. Capture through an already-open messaging client is close to frictionless and is expected to carry the substantial majority of daily interactions.</w:t>
      </w:r>
    </w:p>
    <w:p>
      <w:pPr>
        <w:pStyle w:val="ListParagraph"/>
        <w:numPr>
          <w:ilvl w:val="0"/>
          <w:numId w:val="3"/>
        </w:numPr>
        <w:spacing w:after="90" w:line="290"/>
      </w:pPr>
      <w:r>
        <w:rPr>
          <w:sz w:val="22"/>
          <w:szCs w:val="22"/>
        </w:rPr>
        <w:t xml:space="preserve">Bot — expense capture, balance queries, queue status, one scheduled daily prompt</w:t>
      </w:r>
    </w:p>
    <w:p>
      <w:pPr>
        <w:pStyle w:val="ListParagraph"/>
        <w:numPr>
          <w:ilvl w:val="0"/>
          <w:numId w:val="3"/>
        </w:numPr>
        <w:spacing w:after="90" w:line="290"/>
      </w:pPr>
      <w:r>
        <w:rPr>
          <w:sz w:val="22"/>
          <w:szCs w:val="22"/>
        </w:rPr>
        <w:t xml:space="preserve">Web — income-day allocation, queue management and reordering, historical review</w:t>
      </w:r>
    </w:p>
    <w:p>
      <w:pPr>
        <w:pStyle w:val="Heading1"/>
        <w:spacing w:after="160" w:before="320"/>
      </w:pPr>
      <w:r>
        <w:t xml:space="preserve">Delivery plan</w:t>
      </w:r>
    </w:p>
    <w:p>
      <w:pPr>
        <w:spacing w:after="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3400"/>
      </w:tblGrid>
      <w:tr>
        <w:trPr>
          <w:cantSplit/>
          <w:tblHeader/>
        </w:trPr>
        <w:tc>
          <w:tcPr>
            <w:tcW w:type="dxa" w:w="900"/>
            <w:shd w:fill="EFEDE6" w:color="auto" w:val="clear"/>
            <w:tcMar>
              <w:top w:type="dxa" w:w="120"/>
              <w:left w:type="dxa" w:w="140"/>
              <w:bottom w:type="dxa" w:w="120"/>
              <w:right w:type="dxa" w:w="140"/>
            </w:tcMar>
          </w:tcPr>
          <w:p>
            <w:pPr>
              <w:jc w:val="left"/>
            </w:pPr>
            <w:r>
              <w:rPr>
                <w:b/>
                <w:bCs/>
                <w:color w:val="1A1A18"/>
                <w:sz w:val="20"/>
                <w:szCs w:val="20"/>
              </w:rPr>
              <w:t xml:space="preserve">Phase</w:t>
            </w:r>
          </w:p>
        </w:tc>
        <w:tc>
          <w:tcPr>
            <w:tcW w:type="dxa" w:w="3800"/>
            <w:shd w:fill="EFEDE6" w:color="auto" w:val="clear"/>
            <w:tcMar>
              <w:top w:type="dxa" w:w="120"/>
              <w:left w:type="dxa" w:w="140"/>
              <w:bottom w:type="dxa" w:w="120"/>
              <w:right w:type="dxa" w:w="140"/>
            </w:tcMar>
          </w:tcPr>
          <w:p>
            <w:pPr>
              <w:jc w:val="left"/>
            </w:pPr>
            <w:r>
              <w:rPr>
                <w:b/>
                <w:bCs/>
                <w:color w:val="1A1A18"/>
                <w:sz w:val="20"/>
                <w:szCs w:val="20"/>
              </w:rPr>
              <w:t xml:space="preserve">Deliverable</w:t>
            </w:r>
          </w:p>
        </w:tc>
        <w:tc>
          <w:tcPr>
            <w:tcW w:type="dxa" w:w="3400"/>
            <w:shd w:fill="EFEDE6" w:color="auto" w:val="clear"/>
            <w:tcMar>
              <w:top w:type="dxa" w:w="120"/>
              <w:left w:type="dxa" w:w="140"/>
              <w:bottom w:type="dxa" w:w="120"/>
              <w:right w:type="dxa" w:w="140"/>
            </w:tcMar>
          </w:tcPr>
          <w:p>
            <w:pPr>
              <w:jc w:val="left"/>
            </w:pPr>
            <w:r>
              <w:rPr>
                <w:b/>
                <w:bCs/>
                <w:color w:val="1A1A18"/>
                <w:sz w:val="20"/>
                <w:szCs w:val="20"/>
              </w:rPr>
              <w:t xml:space="preserve">Validates</w:t>
            </w:r>
          </w:p>
        </w:tc>
      </w:tr>
      <w:tr>
        <w:trPr>
          <w:cantSplit/>
        </w:trPr>
        <w:tc>
          <w:tcPr>
            <w:tcW w:type="dxa" w:w="900"/>
            <w:tcMar>
              <w:top w:type="dxa" w:w="120"/>
              <w:left w:type="dxa" w:w="140"/>
              <w:bottom w:type="dxa" w:w="120"/>
              <w:right w:type="dxa" w:w="140"/>
            </w:tcMar>
          </w:tcPr>
          <w:p>
            <w:pPr>
              <w:jc w:val="left"/>
            </w:pPr>
            <w:r>
              <w:rPr>
                <w:b w:val="false"/>
                <w:bCs w:val="false"/>
                <w:color w:val="2C2C2A"/>
                <w:sz w:val="20"/>
                <w:szCs w:val="20"/>
              </w:rPr>
              <w:t xml:space="preserve">1</w:t>
            </w:r>
          </w:p>
        </w:tc>
        <w:tc>
          <w:tcPr>
            <w:tcW w:type="dxa" w:w="3800"/>
            <w:tcMar>
              <w:top w:type="dxa" w:w="120"/>
              <w:left w:type="dxa" w:w="140"/>
              <w:bottom w:type="dxa" w:w="120"/>
              <w:right w:type="dxa" w:w="140"/>
            </w:tcMar>
          </w:tcPr>
          <w:p>
            <w:pPr>
              <w:jc w:val="left"/>
            </w:pPr>
            <w:r>
              <w:rPr>
                <w:b w:val="false"/>
                <w:bCs w:val="false"/>
                <w:color w:val="2C2C2A"/>
                <w:sz w:val="20"/>
                <w:szCs w:val="20"/>
              </w:rPr>
              <w:t xml:space="preserve">Clickable prototype, local state only</w:t>
            </w:r>
          </w:p>
        </w:tc>
        <w:tc>
          <w:tcPr>
            <w:tcW w:type="dxa" w:w="3400"/>
            <w:tcMar>
              <w:top w:type="dxa" w:w="120"/>
              <w:left w:type="dxa" w:w="140"/>
              <w:bottom w:type="dxa" w:w="120"/>
              <w:right w:type="dxa" w:w="140"/>
            </w:tcMar>
          </w:tcPr>
          <w:p>
            <w:pPr>
              <w:jc w:val="left"/>
            </w:pPr>
            <w:r>
              <w:rPr>
                <w:b w:val="false"/>
                <w:bCs w:val="false"/>
                <w:color w:val="2C2C2A"/>
                <w:sz w:val="20"/>
                <w:szCs w:val="20"/>
              </w:rPr>
              <w:t xml:space="preserve">Whether the daily-number framing changes decisions</w:t>
            </w:r>
          </w:p>
        </w:tc>
      </w:tr>
      <w:tr>
        <w:trPr>
          <w:cantSplit/>
        </w:trPr>
        <w:tc>
          <w:tcPr>
            <w:tcW w:type="dxa" w:w="900"/>
            <w:tcMar>
              <w:top w:type="dxa" w:w="120"/>
              <w:left w:type="dxa" w:w="140"/>
              <w:bottom w:type="dxa" w:w="120"/>
              <w:right w:type="dxa" w:w="140"/>
            </w:tcMar>
          </w:tcPr>
          <w:p>
            <w:pPr>
              <w:jc w:val="left"/>
            </w:pPr>
            <w:r>
              <w:rPr>
                <w:b w:val="false"/>
                <w:bCs w:val="false"/>
                <w:color w:val="2C2C2A"/>
                <w:sz w:val="20"/>
                <w:szCs w:val="20"/>
              </w:rPr>
              <w:t xml:space="preserve">2</w:t>
            </w:r>
          </w:p>
        </w:tc>
        <w:tc>
          <w:tcPr>
            <w:tcW w:type="dxa" w:w="3800"/>
            <w:tcMar>
              <w:top w:type="dxa" w:w="120"/>
              <w:left w:type="dxa" w:w="140"/>
              <w:bottom w:type="dxa" w:w="120"/>
              <w:right w:type="dxa" w:w="140"/>
            </w:tcMar>
          </w:tcPr>
          <w:p>
            <w:pPr>
              <w:jc w:val="left"/>
            </w:pPr>
            <w:r>
              <w:rPr>
                <w:b w:val="false"/>
                <w:bCs w:val="false"/>
                <w:color w:val="2C2C2A"/>
                <w:sz w:val="20"/>
                <w:szCs w:val="20"/>
              </w:rPr>
              <w:t xml:space="preserve">Schema, authentication, allocation and calculation engine</w:t>
            </w:r>
          </w:p>
        </w:tc>
        <w:tc>
          <w:tcPr>
            <w:tcW w:type="dxa" w:w="3400"/>
            <w:tcMar>
              <w:top w:type="dxa" w:w="120"/>
              <w:left w:type="dxa" w:w="140"/>
              <w:bottom w:type="dxa" w:w="120"/>
              <w:right w:type="dxa" w:w="140"/>
            </w:tcMar>
          </w:tcPr>
          <w:p>
            <w:pPr>
              <w:jc w:val="left"/>
            </w:pPr>
            <w:r>
              <w:rPr>
                <w:b w:val="false"/>
                <w:bCs w:val="false"/>
                <w:color w:val="2C2C2A"/>
                <w:sz w:val="20"/>
                <w:szCs w:val="20"/>
              </w:rPr>
              <w:t xml:space="preserve">Correctness of the financial model</w:t>
            </w:r>
          </w:p>
        </w:tc>
      </w:tr>
      <w:tr>
        <w:trPr>
          <w:cantSplit/>
        </w:trPr>
        <w:tc>
          <w:tcPr>
            <w:tcW w:type="dxa" w:w="900"/>
            <w:tcMar>
              <w:top w:type="dxa" w:w="120"/>
              <w:left w:type="dxa" w:w="140"/>
              <w:bottom w:type="dxa" w:w="120"/>
              <w:right w:type="dxa" w:w="140"/>
            </w:tcMar>
          </w:tcPr>
          <w:p>
            <w:pPr>
              <w:jc w:val="left"/>
            </w:pPr>
            <w:r>
              <w:rPr>
                <w:b w:val="false"/>
                <w:bCs w:val="false"/>
                <w:color w:val="2C2C2A"/>
                <w:sz w:val="20"/>
                <w:szCs w:val="20"/>
              </w:rPr>
              <w:t xml:space="preserve">3</w:t>
            </w:r>
          </w:p>
        </w:tc>
        <w:tc>
          <w:tcPr>
            <w:tcW w:type="dxa" w:w="3800"/>
            <w:tcMar>
              <w:top w:type="dxa" w:w="120"/>
              <w:left w:type="dxa" w:w="140"/>
              <w:bottom w:type="dxa" w:w="120"/>
              <w:right w:type="dxa" w:w="140"/>
            </w:tcMar>
          </w:tcPr>
          <w:p>
            <w:pPr>
              <w:jc w:val="left"/>
            </w:pPr>
            <w:r>
              <w:rPr>
                <w:b w:val="false"/>
                <w:bCs w:val="false"/>
                <w:color w:val="2C2C2A"/>
                <w:sz w:val="20"/>
                <w:szCs w:val="20"/>
              </w:rPr>
              <w:t xml:space="preserve">Telegram bot with account linking and capture</w:t>
            </w:r>
          </w:p>
        </w:tc>
        <w:tc>
          <w:tcPr>
            <w:tcW w:type="dxa" w:w="3400"/>
            <w:tcMar>
              <w:top w:type="dxa" w:w="120"/>
              <w:left w:type="dxa" w:w="140"/>
              <w:bottom w:type="dxa" w:w="120"/>
              <w:right w:type="dxa" w:w="140"/>
            </w:tcMar>
          </w:tcPr>
          <w:p>
            <w:pPr>
              <w:jc w:val="left"/>
            </w:pPr>
            <w:r>
              <w:rPr>
                <w:b w:val="false"/>
                <w:bCs w:val="false"/>
                <w:color w:val="2C2C2A"/>
                <w:sz w:val="20"/>
                <w:szCs w:val="20"/>
              </w:rPr>
              <w:t xml:space="preserve">Whether capture friction is genuinely eliminated</w:t>
            </w:r>
          </w:p>
        </w:tc>
      </w:tr>
      <w:tr>
        <w:trPr>
          <w:cantSplit/>
        </w:trPr>
        <w:tc>
          <w:tcPr>
            <w:tcW w:type="dxa" w:w="900"/>
            <w:tcMar>
              <w:top w:type="dxa" w:w="120"/>
              <w:left w:type="dxa" w:w="140"/>
              <w:bottom w:type="dxa" w:w="120"/>
              <w:right w:type="dxa" w:w="140"/>
            </w:tcMar>
          </w:tcPr>
          <w:p>
            <w:pPr>
              <w:jc w:val="left"/>
            </w:pPr>
            <w:r>
              <w:rPr>
                <w:b w:val="false"/>
                <w:bCs w:val="false"/>
                <w:color w:val="2C2C2A"/>
                <w:sz w:val="20"/>
                <w:szCs w:val="20"/>
              </w:rPr>
              <w:t xml:space="preserve">4</w:t>
            </w:r>
          </w:p>
        </w:tc>
        <w:tc>
          <w:tcPr>
            <w:tcW w:type="dxa" w:w="3800"/>
            <w:tcMar>
              <w:top w:type="dxa" w:w="120"/>
              <w:left w:type="dxa" w:w="140"/>
              <w:bottom w:type="dxa" w:w="120"/>
              <w:right w:type="dxa" w:w="140"/>
            </w:tcMar>
          </w:tcPr>
          <w:p>
            <w:pPr>
              <w:jc w:val="left"/>
            </w:pPr>
            <w:r>
              <w:rPr>
                <w:b w:val="false"/>
                <w:bCs w:val="false"/>
                <w:color w:val="2C2C2A"/>
                <w:sz w:val="20"/>
                <w:szCs w:val="20"/>
              </w:rPr>
              <w:t xml:space="preserve">Needs and Wants queues with projection</w:t>
            </w:r>
          </w:p>
        </w:tc>
        <w:tc>
          <w:tcPr>
            <w:tcW w:type="dxa" w:w="3400"/>
            <w:tcMar>
              <w:top w:type="dxa" w:w="120"/>
              <w:left w:type="dxa" w:w="140"/>
              <w:bottom w:type="dxa" w:w="120"/>
              <w:right w:type="dxa" w:w="140"/>
            </w:tcMar>
          </w:tcPr>
          <w:p>
            <w:pPr>
              <w:jc w:val="left"/>
            </w:pPr>
            <w:r>
              <w:rPr>
                <w:b w:val="false"/>
                <w:bCs w:val="false"/>
                <w:color w:val="2C2C2A"/>
                <w:sz w:val="20"/>
                <w:szCs w:val="20"/>
              </w:rPr>
              <w:t xml:space="preserve">Whether displacement of needs stops</w:t>
            </w:r>
          </w:p>
        </w:tc>
      </w:tr>
      <w:tr>
        <w:trPr>
          <w:cantSplit/>
        </w:trPr>
        <w:tc>
          <w:tcPr>
            <w:tcW w:type="dxa" w:w="900"/>
            <w:tcMar>
              <w:top w:type="dxa" w:w="120"/>
              <w:left w:type="dxa" w:w="140"/>
              <w:bottom w:type="dxa" w:w="120"/>
              <w:right w:type="dxa" w:w="140"/>
            </w:tcMar>
          </w:tcPr>
          <w:p>
            <w:pPr>
              <w:jc w:val="left"/>
            </w:pPr>
            <w:r>
              <w:rPr>
                <w:b w:val="false"/>
                <w:bCs w:val="false"/>
                <w:color w:val="2C2C2A"/>
                <w:sz w:val="20"/>
                <w:szCs w:val="20"/>
              </w:rPr>
              <w:t xml:space="preserve">5</w:t>
            </w:r>
          </w:p>
        </w:tc>
        <w:tc>
          <w:tcPr>
            <w:tcW w:type="dxa" w:w="3800"/>
            <w:tcMar>
              <w:top w:type="dxa" w:w="120"/>
              <w:left w:type="dxa" w:w="140"/>
              <w:bottom w:type="dxa" w:w="120"/>
              <w:right w:type="dxa" w:w="140"/>
            </w:tcMar>
          </w:tcPr>
          <w:p>
            <w:pPr>
              <w:jc w:val="left"/>
            </w:pPr>
            <w:r>
              <w:rPr>
                <w:b w:val="false"/>
                <w:bCs w:val="false"/>
                <w:color w:val="2C2C2A"/>
                <w:sz w:val="20"/>
                <w:szCs w:val="20"/>
              </w:rPr>
              <w:t xml:space="preserve">Review surface and refinement</w:t>
            </w:r>
          </w:p>
        </w:tc>
        <w:tc>
          <w:tcPr>
            <w:tcW w:type="dxa" w:w="3400"/>
            <w:tcMar>
              <w:top w:type="dxa" w:w="120"/>
              <w:left w:type="dxa" w:w="140"/>
              <w:bottom w:type="dxa" w:w="120"/>
              <w:right w:type="dxa" w:w="140"/>
            </w:tcMar>
          </w:tcPr>
          <w:p>
            <w:pPr>
              <w:jc w:val="left"/>
            </w:pPr>
            <w:r>
              <w:rPr>
                <w:b w:val="false"/>
                <w:bCs w:val="false"/>
                <w:color w:val="2C2C2A"/>
                <w:sz w:val="20"/>
                <w:szCs w:val="20"/>
              </w:rPr>
              <w:t xml:space="preserve">Retention beyond the novelty period</w:t>
            </w:r>
          </w:p>
        </w:tc>
      </w:tr>
    </w:tbl>
    <w:p>
      <w:pPr>
        <w:spacing w:after="200"/>
      </w:pPr>
    </w:p>
    <w:p>
      <w:pPr>
        <w:pStyle w:val="Heading1"/>
        <w:spacing w:after="160" w:before="320"/>
      </w:pPr>
      <w:r>
        <w:t xml:space="preserve">Evaluation criteria</w:t>
      </w:r>
    </w:p>
    <w:p>
      <w:pPr>
        <w:spacing w:after="140" w:line="300"/>
      </w:pPr>
      <w:r>
        <w:rPr>
          <w:color w:val="2C2C2A"/>
          <w:sz w:val="22"/>
          <w:szCs w:val="22"/>
        </w:rPr>
        <w:t xml:space="preserve">The product is considered validated if, after two full income cycles:</w:t>
      </w:r>
    </w:p>
    <w:p>
      <w:pPr>
        <w:pStyle w:val="ListParagraph"/>
        <w:numPr>
          <w:ilvl w:val="0"/>
          <w:numId w:val="3"/>
        </w:numPr>
        <w:spacing w:after="90" w:line="290"/>
      </w:pPr>
      <w:r>
        <w:rPr>
          <w:sz w:val="22"/>
          <w:szCs w:val="22"/>
        </w:rPr>
        <w:t xml:space="preserve">Spending in the first week falls below thirty-five percent of the discretionary pool</w:t>
      </w:r>
    </w:p>
    <w:p>
      <w:pPr>
        <w:pStyle w:val="ListParagraph"/>
        <w:numPr>
          <w:ilvl w:val="0"/>
          <w:numId w:val="3"/>
        </w:numPr>
        <w:spacing w:after="90" w:line="290"/>
      </w:pPr>
      <w:r>
        <w:rPr>
          <w:sz w:val="22"/>
          <w:szCs w:val="22"/>
        </w:rPr>
        <w:t xml:space="preserve">The account does not reach zero before the next income date</w:t>
      </w:r>
    </w:p>
    <w:p>
      <w:pPr>
        <w:pStyle w:val="ListParagraph"/>
        <w:numPr>
          <w:ilvl w:val="0"/>
          <w:numId w:val="3"/>
        </w:numPr>
        <w:spacing w:after="90" w:line="290"/>
      </w:pPr>
      <w:r>
        <w:rPr>
          <w:sz w:val="22"/>
          <w:szCs w:val="22"/>
        </w:rPr>
        <w:t xml:space="preserve">At least one queued item is purchased from accumulated funds rather than from the discretionary pool</w:t>
      </w:r>
    </w:p>
    <w:p>
      <w:pPr>
        <w:pStyle w:val="ListParagraph"/>
        <w:numPr>
          <w:ilvl w:val="0"/>
          <w:numId w:val="3"/>
        </w:numPr>
        <w:spacing w:after="90" w:line="290"/>
      </w:pPr>
      <w:r>
        <w:rPr>
          <w:sz w:val="22"/>
          <w:szCs w:val="22"/>
        </w:rPr>
        <w:t xml:space="preserve">At least one needs-track item that had previously been deferred is completed</w:t>
      </w:r>
    </w:p>
    <w:p>
      <w:pPr>
        <w:pStyle w:val="ListParagraph"/>
        <w:numPr>
          <w:ilvl w:val="0"/>
          <w:numId w:val="3"/>
        </w:numPr>
        <w:spacing w:after="90" w:line="290"/>
      </w:pPr>
      <w:r>
        <w:rPr>
          <w:sz w:val="22"/>
          <w:szCs w:val="22"/>
        </w:rPr>
        <w:t xml:space="preserve">Daily capture continues without prompting past the second week</w:t>
      </w:r>
    </w:p>
    <w:p>
      <w:pPr>
        <w:spacing w:after="120"/>
      </w:pPr>
    </w:p>
    <w:p>
      <w:pPr>
        <w:spacing w:after="140" w:line="300"/>
      </w:pPr>
      <w:r>
        <w:rPr>
          <w:i/>
          <w:iCs/>
          <w:color w:val="2C2C2A"/>
          <w:sz w:val="22"/>
          <w:szCs w:val="22"/>
        </w:rPr>
        <w:t xml:space="preserve">If the first-week figure does not move, the core hypothesis is wrong and no amount of additional features will correct it. That measurement is the purpose of Phase 1.</w:t>
      </w:r>
    </w:p>
    <w:p>
      <w:pPr>
        <w:pBdr>
          <w:bottom w:val="single" w:color="D3D1C7" w:sz="6"/>
        </w:pBdr>
        <w:spacing w:after="200" w:before="120"/>
      </w:pPr>
    </w:p>
    <w:p>
      <w:pPr>
        <w:spacing w:after="140" w:line="300"/>
      </w:pPr>
      <w:r>
        <w:rPr>
          <w:color w:val="5F5E5A"/>
          <w:sz w:val="22"/>
          <w:szCs w:val="22"/>
        </w:rPr>
        <w:t xml:space="preserve">Prepared for internal review. Figures and thresholds are illustrative and subject to calibration during Phase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8"/>
      <w:sz w:val="34"/>
      <w:szCs w:val="34"/>
    </w:rPr>
  </w:style>
  <w:style w:type="paragraph" w:styleId="Heading2">
    <w:name w:val="Heading 2"/>
    <w:basedOn w:val="Normal"/>
    <w:next w:val="Normal"/>
    <w:qFormat/>
    <w:rPr>
      <w:rFonts w:ascii="Calibri" w:cs="Calibri" w:eastAsia="Calibri" w:hAnsi="Calibri"/>
      <w:b/>
      <w:bCs/>
      <w:color w:val="1D6E56"/>
      <w:sz w:val="26"/>
      <w:szCs w:val="26"/>
    </w:rPr>
  </w:style>
  <w:style w:type="paragraph" w:styleId="Heading3">
    <w:name w:val="Heading 3"/>
    <w:basedOn w:val="Normal"/>
    <w:next w:val="Normal"/>
    <w:qFormat/>
    <w:rPr>
      <w:rFonts w:ascii="Calibri" w:cs="Calibri" w:eastAsia="Calibri" w:hAnsi="Calibri"/>
      <w:b/>
      <w:bCs/>
      <w:color w:val="1A1A1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Pacer — Product Plan</dc:title>
  <dc:creator>Project plan</dc:creator>
  <cp:lastModifiedBy>Un-named</cp:lastModifiedBy>
  <cp:revision>1</cp:revision>
  <dcterms:created xsi:type="dcterms:W3CDTF">2026-08-23T10:59:52.821Z</dcterms:created>
  <dcterms:modified xsi:type="dcterms:W3CDTF">2026-08-23T10:59:52.821Z</dcterms:modified>
</cp:coreProperties>
</file>

<file path=docProps/custom.xml><?xml version="1.0" encoding="utf-8"?>
<Properties xmlns="http://schemas.openxmlformats.org/officeDocument/2006/custom-properties" xmlns:vt="http://schemas.openxmlformats.org/officeDocument/2006/docPropsVTypes"/>
</file>