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Формування і занепад цивілізації Караль-Супе: критичний огляд гіпотез з використанням евристичного фрейму SUBIT</w:t>
      </w:r>
    </w:p>
    <w:p>
      <w:pPr>
        <w:spacing w:after="100"/>
        <w:jc w:val="center"/>
      </w:pPr>
      <w:r>
        <w:rPr>
          <w:i/>
          <w:iCs/>
          <w:sz w:val="22"/>
          <w:szCs w:val="22"/>
        </w:rPr>
        <w:t xml:space="preserve">Літературно-критичний синтез</w:t>
      </w:r>
    </w:p>
    <w:p>
      <w:pPr>
        <w:spacing w:after="400"/>
        <w:jc w:val="center"/>
      </w:pPr>
      <w:r>
        <w:rPr>
          <w:sz w:val="20"/>
          <w:szCs w:val="20"/>
        </w:rPr>
        <w:t xml:space="preserve">2026</w:t>
      </w:r>
    </w:p>
    <w:p>
      <w:pPr>
        <w:pStyle w:val="Heading1"/>
        <w:spacing w:after="160" w:before="320"/>
      </w:pPr>
      <w:r>
        <w:t xml:space="preserve">Анотація</w:t>
      </w:r>
    </w:p>
    <w:p>
      <w:pPr>
        <w:spacing w:after="160"/>
        <w:jc w:val="both"/>
      </w:pPr>
      <w:r>
        <w:rPr>
          <w:b w:val="false"/>
          <w:bCs w:val="false"/>
          <w:i w:val="false"/>
          <w:iCs w:val="false"/>
        </w:rPr>
        <w:t xml:space="preserve">Цивілізація Караль-Супе (Норте Чіко, північно-центральне узбережжя Перу, ~3500–1800 рр. до н.е.) є найдавнішим відомим осередком державності в Америці і одним із небагатьох незалежних осередків виникнення цивілізації у світовій історії. Попри понад чверть століття систематичних досліджень, у дисципліні залишаються невирішеними два ключові питання: (1) яка підсистема господарства — морська чи землеробська — була першоджерелом монументальності на етапі формування (~3500–2627 рр. до н.е.), і (2) яким був характер занепаду близько 1800 р. до н.е. — раптовим колапсом чи керованою адаптацією. Ця робота є критичним оглядом наявної першоджерельної літератури з обох питань і пропонує використання формального апарату SUBIT — нотаційної системи станів (WHO-WHERE-WHEN), правил еволюції та динамічного класифікатора стабільності Ω — виключно як евристичного методологічного інструменту для впорядкування конкуруючих гіпотез і формулювання розрізняльних емпіричних тестів. Наголошується, що сам формалізм SUBIT не є джерелом нових емпіричних даних і не підтверджує жодної гіпотези самостійно; його функція — структурна й евристична.</w:t>
      </w:r>
    </w:p>
    <w:p>
      <w:pPr>
        <w:spacing w:after="160"/>
        <w:jc w:val="both"/>
      </w:pPr>
      <w:r>
        <w:rPr>
          <w:b w:val="false"/>
          <w:bCs w:val="false"/>
          <w:i/>
          <w:iCs/>
        </w:rPr>
        <w:t xml:space="preserve">Ключові слова: Караль-Супе, Норте Чіко, гіпотеза морських основ, формальна евристика, археологія Перу, палеодієтологія, стабільні ізотопи.</w:t>
      </w:r>
    </w:p>
    <w:p>
      <w:pPr>
        <w:pStyle w:val="Heading1"/>
        <w:spacing w:after="160" w:before="320"/>
      </w:pPr>
      <w:r>
        <w:t xml:space="preserve">1. Вступ</w:t>
      </w:r>
    </w:p>
    <w:p>
      <w:pPr>
        <w:spacing w:after="160"/>
        <w:jc w:val="both"/>
      </w:pPr>
      <w:r>
        <w:rPr>
          <w:b w:val="false"/>
          <w:bCs w:val="false"/>
          <w:i w:val="false"/>
          <w:iCs w:val="false"/>
        </w:rPr>
        <w:t xml:space="preserve">Розкопки Рут Шейді Соліс у Каралі, розпочаті в 1994 р., і подальші радіовуглецеві дослідження Джонатана Гааса, Уініфред Крімер та Альваро Руїса (Shady, Haas, &amp; Creamer, 2001; Haas, Creamer, &amp; Ruiz, 2004) відсунули початок міської цивілізації на тихоокеанському узбережжі Південної Америки на понад тисячу років раніше, ніж вважалося раніше, і встановили комплекс Норте Чіко як один із шести незалежних осередків виникнення цивілізації у світі — поряд із Месопотамією, Єгиптом, долиною Інду, Китаєм та Мезоамерикою.</w:t>
      </w:r>
    </w:p>
    <w:p>
      <w:pPr>
        <w:spacing w:after="160"/>
        <w:jc w:val="both"/>
      </w:pPr>
      <w:r>
        <w:rPr>
          <w:b w:val="false"/>
          <w:bCs w:val="false"/>
          <w:i w:val="false"/>
          <w:iCs w:val="false"/>
        </w:rPr>
        <w:t xml:space="preserve">Проте хронологічна першість не розв'язала суперечку про механізм виникнення. Ще з кінця 1960-х років в андській археології точиться дискусія між прихильниками морського й землеробського пояснення походження соціальної складності (Pezo-Lanfranco et al., 2022), а причини занепаду близько 1800 р. до н.е. залишаються предметом активного перегляду й донині, включно з публікаціями 2025 р. Мета цієї роботи — не розв'язати ці суперечки (що вимагало б нових польових даних), а (а) систематизувати наявну першоджерельну літературу з обох питань у вигляді історіографічного огляду та (б) продемонструвати, як формальний евристичний апарат SUBIT може бути використаний для точнішого формулювання розрізняльних емпіричних тестів між конкуруючими гіпотезами.</w:t>
      </w:r>
    </w:p>
    <w:p>
      <w:pPr>
        <w:pStyle w:val="Heading1"/>
        <w:spacing w:after="160" w:before="320"/>
      </w:pPr>
      <w:r>
        <w:t xml:space="preserve">2. Огляд літератури</w:t>
      </w:r>
    </w:p>
    <w:p>
      <w:pPr>
        <w:pStyle w:val="Heading2"/>
        <w:spacing w:after="120" w:before="240"/>
      </w:pPr>
      <w:r>
        <w:t xml:space="preserve">2.1 Гіпотеза морських основ андської цивілізації (Moseley, 1975)</w:t>
      </w:r>
    </w:p>
    <w:p>
      <w:pPr>
        <w:spacing w:after="160"/>
        <w:jc w:val="both"/>
      </w:pPr>
      <w:r>
        <w:rPr>
          <w:b w:val="false"/>
          <w:bCs w:val="false"/>
          <w:i w:val="false"/>
          <w:iCs w:val="false"/>
        </w:rPr>
        <w:t xml:space="preserve">Майкл Мозлі сформулював гіпотезу «Maritime Foundations of Andean Civilization» (MFAC), згідно з якою соціальна складність на узбережжі Перу виникла завдяки експлуатації надзвичайно багатих на анчоуси (Engraulis ringens) та інші види прибережних вод Перуанської течії, ще до появи іригаційного землеробства (Moseley, 1975; за викладом у Pezo-Lanfranco et al., 2022). Відсутність іригаційних каналів у ранніх прибережних поселеннях на момент формулювання гіпотези інтерпретувалась як доказ того, що землеробство було введене значно пізніше — близько 1800 р. до н.е. — для підтримки вже інституціоналізованих соціальних структур.</w:t>
      </w:r>
    </w:p>
    <w:p>
      <w:pPr>
        <w:pStyle w:val="Heading2"/>
        <w:spacing w:after="120" w:before="240"/>
      </w:pPr>
      <w:r>
        <w:t xml:space="preserve">2.2 Датування Караля і регіональна хронологія (Shady et al., 2001; Haas et al., 2004)</w:t>
      </w:r>
    </w:p>
    <w:p>
      <w:pPr>
        <w:spacing w:after="160"/>
        <w:jc w:val="both"/>
      </w:pPr>
      <w:r>
        <w:rPr>
          <w:b w:val="false"/>
          <w:bCs w:val="false"/>
          <w:i w:val="false"/>
          <w:iCs w:val="false"/>
        </w:rPr>
        <w:t xml:space="preserve">Датування Караля методом радіовуглецевого аналізу (Shady, Haas, &amp; Creamer, 2001) показало, що монументальний внутрішній сайт існував одночасно з прибережними поселеннями, що поставило під сумнів просту послідовність «спочатку узбережжя, потім суходіл». Ширше дослідження Гааса, Крімер і Руїса (2004), що охопило 95 нових радіовуглецевих дат із 13 великих сайтів долин Пативілька і Фортальеса, підтвердило існування великого культурного комплексу в період 3000–1800 рр. до н.е. і показало, що прибережний та внутрішній розвиток відбувався швидше паралельно, ніж послідовно.</w:t>
      </w:r>
    </w:p>
    <w:p>
      <w:pPr>
        <w:pStyle w:val="Heading2"/>
        <w:spacing w:after="120" w:before="240"/>
      </w:pPr>
      <w:r>
        <w:t xml:space="preserve">2.3 Археозоологічні та ізотопні дослідження 2011 року: внутрішня суперечність даних</w:t>
      </w:r>
    </w:p>
    <w:p>
      <w:pPr>
        <w:spacing w:after="160"/>
        <w:jc w:val="both"/>
      </w:pPr>
      <w:r>
        <w:rPr>
          <w:b w:val="false"/>
          <w:bCs w:val="false"/>
          <w:i w:val="false"/>
          <w:iCs w:val="false"/>
        </w:rPr>
        <w:t xml:space="preserve">У межах спеціального випуску Journal of Island and Coastal Archaeology (2011) вийшли дві роботи з протилежними висновками. Крімер, Гаас, Джакайтіс та Ольгін (Creamer, Haas, Jakaitis, &amp; Holguin, 2011), порівнюючи морські безхребетні у смітникових відкладеннях прибережного (Порвенір) і внутрішнього (Уарікандза) поселень долини Фортальеса, не виявили суттєвої різниці в інтенсивності використання морських ресурсів між ними — результат, що узгоджується з моделлю тісної господарської інтеграції. Натомість Коутс, Чу і Крігбаум (Coutts, Chu, &amp; Krigbaum, 2011), аналізуючи стабільні ізотопи людських решток із прибережної Бандурії у порівнянні з внутрішнім Каралем, дійшли протилежного висновку — що населення Караля значно менше покладалося на морські ресурси, ніж прибережне населення. Ця пряма суперечність двох одночасно опублікованих досліджень ілюструє, що питання про ступінь морсько-землеробської інтеграції на момент 2011 р. залишалося емпірично невирішеним.</w:t>
      </w:r>
    </w:p>
    <w:p>
      <w:pPr>
        <w:pStyle w:val="Heading2"/>
        <w:spacing w:after="120" w:before="240"/>
      </w:pPr>
      <w:r>
        <w:t xml:space="preserve">2.4 Пряме тестування MFAC на матеріалі одного й того ж басейну (Pezo-Lanfranco et al., 2022)</w:t>
      </w:r>
    </w:p>
    <w:p>
      <w:pPr>
        <w:spacing w:after="160"/>
        <w:jc w:val="both"/>
      </w:pPr>
      <w:r>
        <w:rPr>
          <w:b w:val="false"/>
          <w:bCs w:val="false"/>
          <w:i w:val="false"/>
          <w:iCs w:val="false"/>
        </w:rPr>
        <w:t xml:space="preserve">Методологічну прогалину попередніх досліджень (порівняння різних долин і різних вибірок) частково усунула робота Пезо-Ланфранко та колег, опублікована в American Journal of Physical Anthropology, яка проаналізувала стабільні ізотопи (δ13C, δ15N) 52 осіб (70 зразків кісткової та зубної тканини) безпосередньо з Караля і Аспіро — двох найважливіших сайтів однієї долини Супе. Дослідження виявило переважання вуглеводів C3-рослин (можливо, бульбоплодів) у раціоні обох сайтів (55–68% калорій в Аспіро, понад 70% у Каралі), причому морський білок залишався стабільно важливим у прибережному Аспіро протягом 3300–1800 рр. до н.е., тоді як у внутрішньому Каралі його частка поступово зменшувалася в період 2550–200 рр. до н.е. Автори експліцитно роблять висновок, що отримані дані не підтверджують гіпотезу MFAC у її первісному формулюванні, натомість вказуючи на переважання землеробства від самого початку існування обох сайтів, з поступовим послабленням морської складової саме у внутрішньому поселенні.</w:t>
      </w:r>
    </w:p>
    <w:p>
      <w:pPr>
        <w:pStyle w:val="Heading2"/>
        <w:spacing w:after="120" w:before="240"/>
      </w:pPr>
      <w:r>
        <w:t xml:space="preserve">2.5 Геологічні дослідження причин занепаду (Sandweiss et al., 2009)</w:t>
      </w:r>
    </w:p>
    <w:p>
      <w:pPr>
        <w:spacing w:after="160"/>
        <w:jc w:val="both"/>
      </w:pPr>
      <w:r>
        <w:rPr>
          <w:b w:val="false"/>
          <w:bCs w:val="false"/>
          <w:i w:val="false"/>
          <w:iCs w:val="false"/>
        </w:rPr>
        <w:t xml:space="preserve">Сендвайс, Соліс, Мозлі, Кіфер та Ортлофф (Sandweiss, Solís, Moseley, Keefer, &amp; Ortloff, 2009), у роботі, опублікованій у Proceedings of the National Academy of Sciences, дослідили геоархеологічні свідчення екологічних змін на узбережжі Перу в період приблизно 5800–3600 років тому. Дослідження документує поєднання сейсмічної активності та епізодів Ель-Ніньйо, які спричинили значні геоморфологічні зміни (замулення річкових гирл, зсуви), що вплинули на господарську інфраструктуру прибережних і внутрішніх поселень долини Супе в період, що передував занепаду близько 1800 р. до н.е.</w:t>
      </w:r>
    </w:p>
    <w:p>
      <w:pPr>
        <w:pStyle w:val="Heading2"/>
        <w:spacing w:after="120" w:before="240"/>
      </w:pPr>
      <w:r>
        <w:t xml:space="preserve">2.6 Нові дані про адаптивну міграцію (Shady, за повідомленнями 2025 р.)</w:t>
      </w:r>
    </w:p>
    <w:p>
      <w:pPr>
        <w:spacing w:after="160"/>
        <w:jc w:val="both"/>
      </w:pPr>
      <w:r>
        <w:rPr>
          <w:b w:val="false"/>
          <w:bCs w:val="false"/>
          <w:i w:val="false"/>
          <w:iCs w:val="false"/>
        </w:rPr>
        <w:t xml:space="preserve">Згідно з повідомленнями про польові дослідження Рут Шейді на сайтах Вічама і Пеніко, оприлюдненими в 2025 р., регіон зазнав тривалої посухи приблизно 4200 років тому, яка порушила землеробство і призвела до залишення монументального центру Караль. За цими повідомленнями, населення не розпалося в конфлікті чи хаотичній деградації, а мігрувало вздовж узбережжя та вглиб суходолу, заснувавши нові поселення, в яких простежується спадкоємність архітектурних традицій і символічних практик. Слід зазначити, що ці дані на момент написання цього огляду доступні переважно через засоби масової інформації та популяризаторські джерела, а не через рецензовану першоджерельну публікацію, що обмежує можливість їх незалежної перевірки в межах цього огляду.</w:t>
      </w:r>
    </w:p>
    <w:p>
      <w:pPr>
        <w:pStyle w:val="Heading1"/>
        <w:spacing w:after="160" w:before="320"/>
      </w:pPr>
      <w:r>
        <w:t xml:space="preserve">3. Теоретико-методологічна рамка: SUBIT як евристичний інструмент</w:t>
      </w:r>
    </w:p>
    <w:p>
      <w:pPr>
        <w:pStyle w:val="Heading2"/>
        <w:spacing w:after="120" w:before="240"/>
      </w:pPr>
      <w:r>
        <w:t xml:space="preserve">3.1 Формальний апарат</w:t>
      </w:r>
    </w:p>
    <w:p>
      <w:pPr>
        <w:spacing w:after="160"/>
        <w:jc w:val="both"/>
      </w:pPr>
      <w:r>
        <w:rPr>
          <w:b w:val="false"/>
          <w:bCs w:val="false"/>
          <w:i w:val="false"/>
          <w:iCs w:val="false"/>
        </w:rPr>
        <w:t xml:space="preserve">SUBIT визначає стан як трійку координат WHO-WHERE-WHEN, до якої в розширеній версії (SUBIT⁺) додається активне правило еволюції ρ, що належить самому стану, а не задається ззовні. Оператор еволюції F(s, ρ) = (f_ρ(s), g(ρ, s)) одночасно змінює стан і саме правило. Класифікатор Ω = {stable, metastable, cyclic, chaotic} визначає, чи є множина станів P стабільною відносно еволюції: P є істинним/стабільним тоді й лише тоді, коли F(P) ⊆ P.</w:t>
      </w:r>
    </w:p>
    <w:p>
      <w:pPr>
        <w:pStyle w:val="Heading2"/>
        <w:spacing w:after="120" w:before="240"/>
      </w:pPr>
      <w:r>
        <w:t xml:space="preserve">3.2 Епістемологічний статус фрейму в цьому дослідженні</w:t>
      </w:r>
    </w:p>
    <w:p>
      <w:pPr>
        <w:spacing w:after="160"/>
        <w:jc w:val="both"/>
      </w:pPr>
      <w:r>
        <w:rPr>
          <w:b w:val="false"/>
          <w:bCs w:val="false"/>
          <w:i w:val="false"/>
          <w:iCs w:val="false"/>
        </w:rPr>
        <w:t xml:space="preserve">У цій роботі формалізм SUBIT застосовується виключно на етапі побудови гіпотез (heuristic scaffolding), а не на етапі їх верифікації. Класифікація історичного переходу як «stable», «chaotic» чи «metastable» є якісним судженням дослідника, що спирається на вже наявні емпіричні дані, а не обчисленою величиною. Присвоєння ярлика саме по собі не є додатковим підтвердженням гіпотези; його функція суто організаційна — воно змушує сформулювати конкретне правило ρ (механізм) і конкретне емпіричне передбачення, яке відрізняє одну гіпотезу від іншої. Усі фактичні висновки цієї роботи спираються виключно на джерела, наведені в розділі 2 та у списку літератури.</w:t>
      </w:r>
    </w:p>
    <w:p>
      <w:pPr>
        <w:pStyle w:val="Heading1"/>
        <w:spacing w:after="160" w:before="320"/>
      </w:pPr>
      <w:r>
        <w:t xml:space="preserve">4. Вузол 1: Фаза формування (~3500–2627 рр. до н.е.)</w:t>
      </w:r>
    </w:p>
    <w:p>
      <w:pPr>
        <w:spacing w:after="160"/>
        <w:jc w:val="both"/>
      </w:pPr>
      <w:r>
        <w:rPr>
          <w:b w:val="false"/>
          <w:bCs w:val="false"/>
          <w:i w:val="false"/>
          <w:iCs w:val="false"/>
        </w:rPr>
        <w:t xml:space="preserve">У термінах SUBIT конкуренцію трьох історіографічних моделей формування можна представити як три альтернативні правила ρ, що визначають, яка підсистема першою досягає стабільного стану P (F(P) ⊆ 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600"/>
        <w:gridCol w:w="3100"/>
      </w:tblGrid>
      <w:tr>
        <w:tc>
          <w:tcPr>
            <w:tcW w:type="dxa" w:w="1900"/>
            <w:shd w:fill="D9D9D9" w:val="clear"/>
          </w:tcPr>
          <w:p>
            <w:r>
              <w:rPr>
                <w:b/>
                <w:bCs/>
                <w:sz w:val="18"/>
                <w:szCs w:val="18"/>
              </w:rPr>
              <w:t xml:space="preserve">Гіпотеза</w:t>
            </w:r>
          </w:p>
        </w:tc>
        <w:tc>
          <w:tcPr>
            <w:tcW w:type="dxa" w:w="2600"/>
            <w:shd w:fill="D9D9D9" w:val="clear"/>
          </w:tcPr>
          <w:p>
            <w:r>
              <w:rPr>
                <w:b/>
                <w:bCs/>
                <w:sz w:val="18"/>
                <w:szCs w:val="18"/>
              </w:rPr>
              <w:t xml:space="preserve">Механізм</w:t>
            </w:r>
          </w:p>
        </w:tc>
        <w:tc>
          <w:tcPr>
            <w:tcW w:type="dxa" w:w="2600"/>
            <w:shd w:fill="D9D9D9" w:val="clear"/>
          </w:tcPr>
          <w:p>
            <w:r>
              <w:rPr>
                <w:b/>
                <w:bCs/>
                <w:sz w:val="18"/>
                <w:szCs w:val="18"/>
              </w:rPr>
              <w:t xml:space="preserve">Емпіричне передбачення</w:t>
            </w:r>
          </w:p>
        </w:tc>
        <w:tc>
          <w:tcPr>
            <w:tcW w:type="dxa" w:w="3100"/>
            <w:shd w:fill="D9D9D9" w:val="clear"/>
          </w:tcPr>
          <w:p>
            <w:r>
              <w:rPr>
                <w:b/>
                <w:bCs/>
                <w:sz w:val="18"/>
                <w:szCs w:val="18"/>
              </w:rPr>
              <w:t xml:space="preserve">Стан підтвердження за даними розділу 2</w:t>
            </w:r>
          </w:p>
        </w:tc>
      </w:tr>
      <w:tr>
        <w:tc>
          <w:tcPr>
            <w:tcW w:type="dxa" w:w="1900"/>
          </w:tcPr>
          <w:p>
            <w:r>
              <w:rPr>
                <w:b w:val="false"/>
                <w:bCs w:val="false"/>
                <w:sz w:val="18"/>
                <w:szCs w:val="18"/>
              </w:rPr>
              <w:t xml:space="preserve">A. Морська першість (MFAC)
Moseley, 1975</w:t>
            </w:r>
          </w:p>
        </w:tc>
        <w:tc>
          <w:tcPr>
            <w:tcW w:type="dxa" w:w="2600"/>
          </w:tcPr>
          <w:p>
            <w:r>
              <w:rPr>
                <w:b w:val="false"/>
                <w:bCs w:val="false"/>
                <w:sz w:val="18"/>
                <w:szCs w:val="18"/>
              </w:rPr>
              <w:t xml:space="preserve">Морські ресурси дають надлишок і осілість до землеробства; прибережні сайти виникають першими й домінують.</w:t>
            </w:r>
          </w:p>
        </w:tc>
        <w:tc>
          <w:tcPr>
            <w:tcW w:type="dxa" w:w="2600"/>
          </w:tcPr>
          <w:p>
            <w:r>
              <w:rPr>
                <w:b w:val="false"/>
                <w:bCs w:val="false"/>
                <w:sz w:val="18"/>
                <w:szCs w:val="18"/>
              </w:rPr>
              <w:t xml:space="preserve">Мінімальні докази землеробства в ранніх прибережних шарах; відсутність або пізня поява іригації.</w:t>
            </w:r>
          </w:p>
        </w:tc>
        <w:tc>
          <w:tcPr>
            <w:tcW w:type="dxa" w:w="3100"/>
          </w:tcPr>
          <w:p>
            <w:r>
              <w:rPr>
                <w:b w:val="false"/>
                <w:bCs w:val="false"/>
                <w:sz w:val="18"/>
                <w:szCs w:val="18"/>
              </w:rPr>
              <w:t xml:space="preserve">Не підтверджено: Haas et al. (2013) документують раннє й широке землеробство; Pezo-Lanfranco et al. (2022) фіксують домінування C3-рослин з самого початку в обох сайтах Супе.</w:t>
            </w:r>
          </w:p>
        </w:tc>
      </w:tr>
      <w:tr>
        <w:tc>
          <w:tcPr>
            <w:tcW w:type="dxa" w:w="1900"/>
          </w:tcPr>
          <w:p>
            <w:r>
              <w:rPr>
                <w:b w:val="false"/>
                <w:bCs w:val="false"/>
                <w:sz w:val="18"/>
                <w:szCs w:val="18"/>
              </w:rPr>
              <w:t xml:space="preserve">B. Землеробська/внутрішня першість
Haas, Shady</w:t>
            </w:r>
          </w:p>
        </w:tc>
        <w:tc>
          <w:tcPr>
            <w:tcW w:type="dxa" w:w="2600"/>
          </w:tcPr>
          <w:p>
            <w:r>
              <w:rPr>
                <w:b w:val="false"/>
                <w:bCs w:val="false"/>
                <w:sz w:val="18"/>
                <w:szCs w:val="18"/>
              </w:rPr>
              <w:t xml:space="preserve">Іригаційне землеробство у внутрішніх долинах — першоджерело економічної влади.</w:t>
            </w:r>
          </w:p>
        </w:tc>
        <w:tc>
          <w:tcPr>
            <w:tcW w:type="dxa" w:w="2600"/>
          </w:tcPr>
          <w:p>
            <w:r>
              <w:rPr>
                <w:b w:val="false"/>
                <w:bCs w:val="false"/>
                <w:sz w:val="18"/>
                <w:szCs w:val="18"/>
              </w:rPr>
              <w:t xml:space="preserve">Внутрішні сайти більші й давніші; ранні докази вирощування рослин.</w:t>
            </w:r>
          </w:p>
        </w:tc>
        <w:tc>
          <w:tcPr>
            <w:tcW w:type="dxa" w:w="3100"/>
          </w:tcPr>
          <w:p>
            <w:r>
              <w:rPr>
                <w:b w:val="false"/>
                <w:bCs w:val="false"/>
                <w:sz w:val="18"/>
                <w:szCs w:val="18"/>
              </w:rPr>
              <w:t xml:space="preserve">Частково підтверджено: населення й масштаб внутрішніх сайтів більші (Haas &amp; Creamer, 2006), проте одночасність виникнення (Shady et al., 2001) суперечить чистій моделі послідовної першості.</w:t>
            </w:r>
          </w:p>
        </w:tc>
      </w:tr>
      <w:tr>
        <w:tc>
          <w:tcPr>
            <w:tcW w:type="dxa" w:w="1900"/>
          </w:tcPr>
          <w:p>
            <w:r>
              <w:rPr>
                <w:b w:val="false"/>
                <w:bCs w:val="false"/>
                <w:sz w:val="18"/>
                <w:szCs w:val="18"/>
              </w:rPr>
              <w:t xml:space="preserve">C. Паралельна компліментарність
Sandweiss &amp; Moseley (ревізія)</w:t>
            </w:r>
          </w:p>
        </w:tc>
        <w:tc>
          <w:tcPr>
            <w:tcW w:type="dxa" w:w="2600"/>
          </w:tcPr>
          <w:p>
            <w:r>
              <w:rPr>
                <w:b w:val="false"/>
                <w:bCs w:val="false"/>
                <w:sz w:val="18"/>
                <w:szCs w:val="18"/>
              </w:rPr>
              <w:t xml:space="preserve">Морська й землеробська підсистеми розвиваються одночасно, пов'язані обміном.</w:t>
            </w:r>
          </w:p>
        </w:tc>
        <w:tc>
          <w:tcPr>
            <w:tcW w:type="dxa" w:w="2600"/>
          </w:tcPr>
          <w:p>
            <w:r>
              <w:rPr>
                <w:b w:val="false"/>
                <w:bCs w:val="false"/>
                <w:sz w:val="18"/>
                <w:szCs w:val="18"/>
              </w:rPr>
              <w:t xml:space="preserve">Синхронність виникнення; двобічні докази обміну.</w:t>
            </w:r>
          </w:p>
        </w:tc>
        <w:tc>
          <w:tcPr>
            <w:tcW w:type="dxa" w:w="3100"/>
          </w:tcPr>
          <w:p>
            <w:r>
              <w:rPr>
                <w:b w:val="false"/>
                <w:bCs w:val="false"/>
                <w:sz w:val="18"/>
                <w:szCs w:val="18"/>
              </w:rPr>
              <w:t xml:space="preserve">Частково підтверджено і частково спростовано: Creamer et al. (2011) підтримують тісну інтеграцію, Coutts et al. (2011) — заперечують; Pezo-Lanfranco et al. (2022) фіксують ослаблення морської складової в Каралі з часом, що суперечить стійкій симетричній компліментарності.</w:t>
            </w:r>
          </w:p>
        </w:tc>
      </w:tr>
    </w:tbl>
    <w:p>
      <w:pPr>
        <w:spacing w:after="160"/>
        <w:jc w:val="both"/>
      </w:pPr>
      <w:r>
        <w:rPr>
          <w:b w:val="false"/>
          <w:bCs w:val="false"/>
          <w:i w:val="false"/>
          <w:iCs w:val="false"/>
        </w:rPr>
        <w:t xml:space="preserve">Сукупний аналіз джерел 2.1–2.4 вказує, що гіпотеза A на сьогодні найслабше підтверджена наявними першоджерельними даними. Суперечка між B і C не є вирішеною: найточніше з наявних досліджень (Pezo-Lanfranco et al., 2022), що порівнює той самий річковий басейн у той самий час, документує не постійну симетричну компліментарність, а асиметричний і змінний у часі баланс — землеробство домінує в обох сайтах з самого початку, проте морська складова залишається стабільно вагомою на узбережжі й поступово слабшає всередині суходолу. Це найточніше описується не як перемога однієї моделі, а як динамічний градієнт, що сам змінюється в часі — спостереження, важливе для подальшого обговорення в розділі 6.</w:t>
      </w:r>
    </w:p>
    <w:p>
      <w:pPr>
        <w:pStyle w:val="Heading1"/>
        <w:spacing w:after="160" w:before="320"/>
      </w:pPr>
      <w:r>
        <w:t xml:space="preserve">5. Вузол 2: Фаза занепаду (~1800 р. до н.е.)</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700"/>
        <w:gridCol w:w="2700"/>
      </w:tblGrid>
      <w:tr>
        <w:tc>
          <w:tcPr>
            <w:tcW w:type="dxa" w:w="2100"/>
            <w:shd w:fill="D9D9D9" w:val="clear"/>
          </w:tcPr>
          <w:p>
            <w:r>
              <w:rPr>
                <w:b/>
                <w:bCs/>
                <w:sz w:val="18"/>
                <w:szCs w:val="18"/>
              </w:rPr>
              <w:t xml:space="preserve">Гіпотеза</w:t>
            </w:r>
          </w:p>
        </w:tc>
        <w:tc>
          <w:tcPr>
            <w:tcW w:type="dxa" w:w="2700"/>
            <w:shd w:fill="D9D9D9" w:val="clear"/>
          </w:tcPr>
          <w:p>
            <w:r>
              <w:rPr>
                <w:b/>
                <w:bCs/>
                <w:sz w:val="18"/>
                <w:szCs w:val="18"/>
              </w:rPr>
              <w:t xml:space="preserve">Механізм</w:t>
            </w:r>
          </w:p>
        </w:tc>
        <w:tc>
          <w:tcPr>
            <w:tcW w:type="dxa" w:w="2700"/>
            <w:shd w:fill="D9D9D9" w:val="clear"/>
          </w:tcPr>
          <w:p>
            <w:r>
              <w:rPr>
                <w:b/>
                <w:bCs/>
                <w:sz w:val="18"/>
                <w:szCs w:val="18"/>
              </w:rPr>
              <w:t xml:space="preserve">Емпіричне передбачення</w:t>
            </w:r>
          </w:p>
        </w:tc>
        <w:tc>
          <w:tcPr>
            <w:tcW w:type="dxa" w:w="2700"/>
            <w:shd w:fill="D9D9D9" w:val="clear"/>
          </w:tcPr>
          <w:p>
            <w:r>
              <w:rPr>
                <w:b/>
                <w:bCs/>
                <w:sz w:val="18"/>
                <w:szCs w:val="18"/>
              </w:rPr>
              <w:t xml:space="preserve">Стан підтвердження за даними розділу 2</w:t>
            </w:r>
          </w:p>
        </w:tc>
      </w:tr>
      <w:tr>
        <w:tc>
          <w:tcPr>
            <w:tcW w:type="dxa" w:w="2100"/>
          </w:tcPr>
          <w:p>
            <w:r>
              <w:rPr>
                <w:b w:val="false"/>
                <w:bCs w:val="false"/>
                <w:sz w:val="18"/>
                <w:szCs w:val="18"/>
              </w:rPr>
              <w:t xml:space="preserve">A. Геолого-кліматичний шок
Sandweiss et al., 2009</w:t>
            </w:r>
          </w:p>
        </w:tc>
        <w:tc>
          <w:tcPr>
            <w:tcW w:type="dxa" w:w="2700"/>
          </w:tcPr>
          <w:p>
            <w:r>
              <w:rPr>
                <w:b w:val="false"/>
                <w:bCs w:val="false"/>
                <w:sz w:val="18"/>
                <w:szCs w:val="18"/>
              </w:rPr>
              <w:t xml:space="preserve">Поєднання сейсмічної активності та посилених епізодів Ель-Ніньйо викликає геоморфологічні порушення (замулення, зсуви).</w:t>
            </w:r>
          </w:p>
        </w:tc>
        <w:tc>
          <w:tcPr>
            <w:tcW w:type="dxa" w:w="2700"/>
          </w:tcPr>
          <w:p>
            <w:r>
              <w:rPr>
                <w:b w:val="false"/>
                <w:bCs w:val="false"/>
                <w:sz w:val="18"/>
                <w:szCs w:val="18"/>
              </w:rPr>
              <w:t xml:space="preserve">Стратиграфічні свідчення різких геоморфологічних змін, що передують чи збігаються з залишенням сайтів.</w:t>
            </w:r>
          </w:p>
        </w:tc>
        <w:tc>
          <w:tcPr>
            <w:tcW w:type="dxa" w:w="2700"/>
          </w:tcPr>
          <w:p>
            <w:r>
              <w:rPr>
                <w:b w:val="false"/>
                <w:bCs w:val="false"/>
                <w:sz w:val="18"/>
                <w:szCs w:val="18"/>
              </w:rPr>
              <w:t xml:space="preserve">Підтверджено на рівні геоархеологічних даних (Sandweiss et al., 2009); проте дослідження описує процес, розтягнутий у часі (5800–3600 років тому), а не одномоментну катастрофу.</w:t>
            </w:r>
          </w:p>
        </w:tc>
      </w:tr>
      <w:tr>
        <w:tc>
          <w:tcPr>
            <w:tcW w:type="dxa" w:w="2100"/>
          </w:tcPr>
          <w:p>
            <w:r>
              <w:rPr>
                <w:b w:val="false"/>
                <w:bCs w:val="false"/>
                <w:sz w:val="18"/>
                <w:szCs w:val="18"/>
              </w:rPr>
              <w:t xml:space="preserve">B. Поступова іригаційна деградація</w:t>
            </w:r>
          </w:p>
        </w:tc>
        <w:tc>
          <w:tcPr>
            <w:tcW w:type="dxa" w:w="2700"/>
          </w:tcPr>
          <w:p>
            <w:r>
              <w:rPr>
                <w:b w:val="false"/>
                <w:bCs w:val="false"/>
                <w:sz w:val="18"/>
                <w:szCs w:val="18"/>
              </w:rPr>
              <w:t xml:space="preserve">Циклічні епізоди Ель-Ніньйо поступово підривають канальне зрошення; внутрішні сайти слабшають раніше прибережних.</w:t>
            </w:r>
          </w:p>
        </w:tc>
        <w:tc>
          <w:tcPr>
            <w:tcW w:type="dxa" w:w="2700"/>
          </w:tcPr>
          <w:p>
            <w:r>
              <w:rPr>
                <w:b w:val="false"/>
                <w:bCs w:val="false"/>
                <w:sz w:val="18"/>
                <w:szCs w:val="18"/>
              </w:rPr>
              <w:t xml:space="preserve">Асинхронне, географічно градієнтне залишення сайтів.</w:t>
            </w:r>
          </w:p>
        </w:tc>
        <w:tc>
          <w:tcPr>
            <w:tcW w:type="dxa" w:w="2700"/>
          </w:tcPr>
          <w:p>
            <w:r>
              <w:rPr>
                <w:b w:val="false"/>
                <w:bCs w:val="false"/>
                <w:sz w:val="18"/>
                <w:szCs w:val="18"/>
              </w:rPr>
              <w:t xml:space="preserve">Не підтверджено й не спростовано в розглянутих джерелах: пряме порівняльне датування залишення прибережних і внутрішніх сайтів долини Супе в даному огляді не виявлено — це відкрита емпірична прогалина.</w:t>
            </w:r>
          </w:p>
        </w:tc>
      </w:tr>
      <w:tr>
        <w:tc>
          <w:tcPr>
            <w:tcW w:type="dxa" w:w="2100"/>
          </w:tcPr>
          <w:p>
            <w:r>
              <w:rPr>
                <w:b w:val="false"/>
                <w:bCs w:val="false"/>
                <w:sz w:val="18"/>
                <w:szCs w:val="18"/>
              </w:rPr>
              <w:t xml:space="preserve">C. Тривала посуха з адаптивною міграцією
Shady, повідомлення 2025 р.</w:t>
            </w:r>
          </w:p>
        </w:tc>
        <w:tc>
          <w:tcPr>
            <w:tcW w:type="dxa" w:w="2700"/>
          </w:tcPr>
          <w:p>
            <w:r>
              <w:rPr>
                <w:b w:val="false"/>
                <w:bCs w:val="false"/>
                <w:sz w:val="18"/>
                <w:szCs w:val="18"/>
              </w:rPr>
              <w:t xml:space="preserve">Посуха (можливо, пов'язана з ширшою глобальною подією 4,2 kyr) порушує землеробство; населення мігрує, зберігаючи культурні практики.</w:t>
            </w:r>
          </w:p>
        </w:tc>
        <w:tc>
          <w:tcPr>
            <w:tcW w:type="dxa" w:w="2700"/>
          </w:tcPr>
          <w:p>
            <w:r>
              <w:rPr>
                <w:b w:val="false"/>
                <w:bCs w:val="false"/>
                <w:sz w:val="18"/>
                <w:szCs w:val="18"/>
              </w:rPr>
              <w:t xml:space="preserve">Безперервність архітектурних і символічних маркерів у нових поселеннях (Вічама, Пеніко) без розриву матеріальної культури.</w:t>
            </w:r>
          </w:p>
        </w:tc>
        <w:tc>
          <w:tcPr>
            <w:tcW w:type="dxa" w:w="2700"/>
          </w:tcPr>
          <w:p>
            <w:r>
              <w:rPr>
                <w:b w:val="false"/>
                <w:bCs w:val="false"/>
                <w:sz w:val="18"/>
                <w:szCs w:val="18"/>
              </w:rPr>
              <w:t xml:space="preserve">Попередньо підтверджено за наявними повідомленнями, проте джерело на момент цього огляду не є рецензованою публікацією — потрібне незалежне підтвердження в академічному виданні.</w:t>
            </w:r>
          </w:p>
        </w:tc>
      </w:tr>
    </w:tbl>
    <w:p>
      <w:pPr>
        <w:spacing w:after="160"/>
        <w:jc w:val="both"/>
      </w:pPr>
      <w:r>
        <w:rPr>
          <w:b w:val="false"/>
          <w:bCs w:val="false"/>
          <w:i w:val="false"/>
          <w:iCs w:val="false"/>
        </w:rPr>
        <w:t xml:space="preserve">Дані розділу 2.5–2.6 не є взаємовиключними: геологічно задокументований процес (Sandweiss et al., 2009) міг створити умови вразливості, на тлі яких пізніша тривала посуха (за повідомленнями 2025 р.) стала безпосереднім тригером залишення Караля. У термінах SUBIT це відповідає не одномоментному переходу stable → chaotic, а поступовому метастабільному ослабленню з подальшою метаеволюцією правила (g-функцією) — заміною правила «підтримувати монументальний центр на місці» на правило «мігрувати, зберігши культурні інваріанти». Ця класифікація є інтерпретаційною пропозицією цієї роботи, а не встановленим фактом, і потребує перевірки шляхом прямого порівняння датування геологічних і посухових горизонтів у майбутніх польових дослідженнях.</w:t>
      </w:r>
    </w:p>
    <w:p>
      <w:pPr>
        <w:pStyle w:val="Heading1"/>
        <w:spacing w:after="160" w:before="320"/>
      </w:pPr>
      <w:r>
        <w:t xml:space="preserve">6. Обговорення</w:t>
      </w:r>
    </w:p>
    <w:p>
      <w:pPr>
        <w:spacing w:after="160"/>
        <w:jc w:val="both"/>
      </w:pPr>
      <w:r>
        <w:rPr>
          <w:b w:val="false"/>
          <w:bCs w:val="false"/>
          <w:i w:val="false"/>
          <w:iCs w:val="false"/>
        </w:rPr>
        <w:t xml:space="preserve">Порівняно із загальним наративним викладом, застосований у цій роботі евристичний фрейм дав три конкретні методологічні результати. По-перше, він змусив розкласти розмиту категорію «причина занепаду» на окремі, емпірично відмінні механізми, кожен із власним стратиграфічним чи ізотопним відбитком. По-друге, він виявив, що сам масив першоджерельної літератури щодо фази формування є внутрішньо суперечливим (Creamer et al., 2011 проти Coutts et al., 2011), і що навіть найточніше з наявних дослідженнь (Pezo-Lanfranco et al., 2022) не підтверджує жодної із трьох гіпотез у чистому вигляді, а натомість описує змінний у часі градієнт. По-третє, він дав мову для опису занепаду не як бінарного «колапс/не колапс», а як категорії метастабільного переналаштування правила — що точно відповідає задокументованому патерну «залишили місто, зберегли культуру» (за повідомленнями про Вічаму й Пеніко).</w:t>
      </w:r>
    </w:p>
    <w:p>
      <w:pPr>
        <w:spacing w:after="160"/>
        <w:jc w:val="both"/>
      </w:pPr>
      <w:r>
        <w:rPr>
          <w:b w:val="false"/>
          <w:bCs w:val="false"/>
          <w:i w:val="false"/>
          <w:iCs w:val="false"/>
        </w:rPr>
        <w:t xml:space="preserve">Слід водночас підкреслити межі підходу. Жодна з наведених оцінок Ω-класу не є обчисленою величиною; це якісні судження дослідника, підігнані під уже відомі факти постфактум, а тому сам факт «гарного накладання» ярлика на дані не є додатковим емпіричним підтвердженням. Ця робота є вторинним літературним синтезом: жодного нового стратиграфічного, ізотопного чи радіовуглецевого аналізу в її межах не проводилося. Там, де джерела, використані в огляді, самі суперечать одне одному (2.3) або де ключове джерело не є рецензованою публікацією (2.6), це відображає реальний, ще не вирішений стан дисципліни, а не є доказом на користь будь-якої зі сформульованих тут гіпотез.</w:t>
      </w:r>
    </w:p>
    <w:p>
      <w:pPr>
        <w:pStyle w:val="Heading1"/>
        <w:spacing w:after="160" w:before="320"/>
      </w:pPr>
      <w:r>
        <w:t xml:space="preserve">7. Висновки</w:t>
      </w:r>
    </w:p>
    <w:p>
      <w:pPr>
        <w:spacing w:after="160"/>
        <w:jc w:val="both"/>
      </w:pPr>
      <w:r>
        <w:rPr>
          <w:b w:val="false"/>
          <w:bCs w:val="false"/>
          <w:i w:val="false"/>
          <w:iCs w:val="false"/>
        </w:rPr>
        <w:t xml:space="preserve">Формування Караль-Супе найточніше описується не як перемога морської чи землеробської підсистеми одна над одною, а як асиметричний і змінний у часі господарський градієнт, задокументований найточнішим із наявних прямих досліджень (Pezo-Lanfranco et al., 2022); чиста гіпотеза морських основ (Moseley, 1975) на сьогодні найслабше підтверджена. Занепад близько 1800 р. до н.е., найімовірніше, поєднує задокументований геолого-кліматичний процес (Sandweiss et al., 2009) із пізнішою тривалою посухою, після якої населення не розпалося, а мігрувало, зберігши культурну спадкоємність — хоча останнє джерело потребує підтвердження в рецензованому виданні. Евристичний фрейм SUBIT виявився корисним інструментом формулювання розрізняльних тестів і категоризації типів історичного переходу, але не джерелом нових емпіричних тверджень: усі фактичні висновки цієї роботи спираються виключно на першоджерела, перелічені нижче.</w:t>
      </w:r>
    </w:p>
    <w:p>
      <w:pPr>
        <w:pStyle w:val="Heading1"/>
        <w:spacing w:after="160" w:before="320"/>
      </w:pPr>
      <w:r>
        <w:t xml:space="preserve">8. Глосарій термінів SUBIT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8400"/>
      </w:tblGrid>
      <w:tr>
        <w:tc>
          <w:tcPr>
            <w:tcW w:type="dxa" w:w="2600"/>
            <w:shd w:fill="D9D9D9" w:val="clear"/>
          </w:tcPr>
          <w:p>
            <w:r>
              <w:rPr>
                <w:b/>
                <w:bCs/>
                <w:sz w:val="18"/>
                <w:szCs w:val="18"/>
              </w:rPr>
              <w:t xml:space="preserve">Термін</w:t>
            </w:r>
          </w:p>
        </w:tc>
        <w:tc>
          <w:tcPr>
            <w:tcW w:type="dxa" w:w="8400"/>
            <w:shd w:fill="D9D9D9" w:val="clear"/>
          </w:tcPr>
          <w:p>
            <w:r>
              <w:rPr>
                <w:b/>
                <w:bCs/>
                <w:sz w:val="18"/>
                <w:szCs w:val="18"/>
              </w:rPr>
              <w:t xml:space="preserve">Визначення</w:t>
            </w:r>
          </w:p>
        </w:tc>
      </w:tr>
      <w:tr>
        <w:tc>
          <w:tcPr>
            <w:tcW w:type="dxa" w:w="2600"/>
          </w:tcPr>
          <w:p>
            <w:r>
              <w:rPr>
                <w:b w:val="false"/>
                <w:bCs w:val="false"/>
                <w:sz w:val="18"/>
                <w:szCs w:val="18"/>
              </w:rPr>
              <w:t xml:space="preserve">Стан (s)</w:t>
            </w:r>
          </w:p>
        </w:tc>
        <w:tc>
          <w:tcPr>
            <w:tcW w:type="dxa" w:w="8400"/>
          </w:tcPr>
          <w:p>
            <w:r>
              <w:rPr>
                <w:b w:val="false"/>
                <w:bCs w:val="false"/>
                <w:sz w:val="18"/>
                <w:szCs w:val="18"/>
              </w:rPr>
              <w:t xml:space="preserve">Трійка координат WHO-WHERE-WHEN, що описує елементарну одиницю опису системи.</w:t>
            </w:r>
          </w:p>
        </w:tc>
      </w:tr>
      <w:tr>
        <w:tc>
          <w:tcPr>
            <w:tcW w:type="dxa" w:w="2600"/>
          </w:tcPr>
          <w:p>
            <w:r>
              <w:rPr>
                <w:b w:val="false"/>
                <w:bCs w:val="false"/>
                <w:sz w:val="18"/>
                <w:szCs w:val="18"/>
              </w:rPr>
              <w:t xml:space="preserve">Розширений стан (s⁺)</w:t>
            </w:r>
          </w:p>
        </w:tc>
        <w:tc>
          <w:tcPr>
            <w:tcW w:type="dxa" w:w="8400"/>
          </w:tcPr>
          <w:p>
            <w:r>
              <w:rPr>
                <w:b w:val="false"/>
                <w:bCs w:val="false"/>
                <w:sz w:val="18"/>
                <w:szCs w:val="18"/>
              </w:rPr>
              <w:t xml:space="preserve">Пара (стан, правило) = (s, ρ); правило еволюції є частиною стану, а не зовнішнім параметром.</w:t>
            </w:r>
          </w:p>
        </w:tc>
      </w:tr>
      <w:tr>
        <w:tc>
          <w:tcPr>
            <w:tcW w:type="dxa" w:w="2600"/>
          </w:tcPr>
          <w:p>
            <w:r>
              <w:rPr>
                <w:b w:val="false"/>
                <w:bCs w:val="false"/>
                <w:sz w:val="18"/>
                <w:szCs w:val="18"/>
              </w:rPr>
              <w:t xml:space="preserve">Правило еволюції (ρ)</w:t>
            </w:r>
          </w:p>
        </w:tc>
        <w:tc>
          <w:tcPr>
            <w:tcW w:type="dxa" w:w="8400"/>
          </w:tcPr>
          <w:p>
            <w:r>
              <w:rPr>
                <w:b w:val="false"/>
                <w:bCs w:val="false"/>
                <w:sz w:val="18"/>
                <w:szCs w:val="18"/>
              </w:rPr>
              <w:t xml:space="preserve">Функція, що визначає, як стан змінюється на наступному кроці; у цій роботі — конкретний історичний механізм (напр., морська першість, посуха).</w:t>
            </w:r>
          </w:p>
        </w:tc>
      </w:tr>
      <w:tr>
        <w:tc>
          <w:tcPr>
            <w:tcW w:type="dxa" w:w="2600"/>
          </w:tcPr>
          <w:p>
            <w:r>
              <w:rPr>
                <w:b w:val="false"/>
                <w:bCs w:val="false"/>
                <w:sz w:val="18"/>
                <w:szCs w:val="18"/>
              </w:rPr>
              <w:t xml:space="preserve">Оператор еволюції (F)</w:t>
            </w:r>
          </w:p>
        </w:tc>
        <w:tc>
          <w:tcPr>
            <w:tcW w:type="dxa" w:w="8400"/>
          </w:tcPr>
          <w:p>
            <w:r>
              <w:rPr>
                <w:b w:val="false"/>
                <w:bCs w:val="false"/>
                <w:sz w:val="18"/>
                <w:szCs w:val="18"/>
              </w:rPr>
              <w:t xml:space="preserve">F(s, ρ) = (f_ρ(s), g(ρ, s)): одночасно змінює стан і саме правило (метаеволюція).</w:t>
            </w:r>
          </w:p>
        </w:tc>
      </w:tr>
      <w:tr>
        <w:tc>
          <w:tcPr>
            <w:tcW w:type="dxa" w:w="2600"/>
          </w:tcPr>
          <w:p>
            <w:r>
              <w:rPr>
                <w:b w:val="false"/>
                <w:bCs w:val="false"/>
                <w:sz w:val="18"/>
                <w:szCs w:val="18"/>
              </w:rPr>
              <w:t xml:space="preserve">Ω-класифікатор</w:t>
            </w:r>
          </w:p>
        </w:tc>
        <w:tc>
          <w:tcPr>
            <w:tcW w:type="dxa" w:w="8400"/>
          </w:tcPr>
          <w:p>
            <w:r>
              <w:rPr>
                <w:b w:val="false"/>
                <w:bCs w:val="false"/>
                <w:sz w:val="18"/>
                <w:szCs w:val="18"/>
              </w:rPr>
              <w:t xml:space="preserve">Чотиризначна класифікація стабільності множини станів: stable, metastable, cyclic, chaotic.</w:t>
            </w:r>
          </w:p>
        </w:tc>
      </w:tr>
      <w:tr>
        <w:tc>
          <w:tcPr>
            <w:tcW w:type="dxa" w:w="2600"/>
          </w:tcPr>
          <w:p>
            <w:r>
              <w:rPr>
                <w:b w:val="false"/>
                <w:bCs w:val="false"/>
                <w:sz w:val="18"/>
                <w:szCs w:val="18"/>
              </w:rPr>
              <w:t xml:space="preserve">Stable</w:t>
            </w:r>
          </w:p>
        </w:tc>
        <w:tc>
          <w:tcPr>
            <w:tcW w:type="dxa" w:w="8400"/>
          </w:tcPr>
          <w:p>
            <w:r>
              <w:rPr>
                <w:b w:val="false"/>
                <w:bCs w:val="false"/>
                <w:sz w:val="18"/>
                <w:szCs w:val="18"/>
              </w:rPr>
              <w:t xml:space="preserve">F(P) ⊆ P: множина станів відтворює саму себе під дією еволюції (напр., стійке відтворення монументальної моделі).</w:t>
            </w:r>
          </w:p>
        </w:tc>
      </w:tr>
      <w:tr>
        <w:tc>
          <w:tcPr>
            <w:tcW w:type="dxa" w:w="2600"/>
          </w:tcPr>
          <w:p>
            <w:r>
              <w:rPr>
                <w:b w:val="false"/>
                <w:bCs w:val="false"/>
                <w:sz w:val="18"/>
                <w:szCs w:val="18"/>
              </w:rPr>
              <w:t xml:space="preserve">Metastable</w:t>
            </w:r>
          </w:p>
        </w:tc>
        <w:tc>
          <w:tcPr>
            <w:tcW w:type="dxa" w:w="8400"/>
          </w:tcPr>
          <w:p>
            <w:r>
              <w:rPr>
                <w:b w:val="false"/>
                <w:bCs w:val="false"/>
                <w:sz w:val="18"/>
                <w:szCs w:val="18"/>
              </w:rPr>
              <w:t xml:space="preserve">F(P) ⊆ P, але P ⊄ F(P): часткова, не повністю зворотна стабільність; у цій роботі — поступове ослаблення перед переходом до нового правила.</w:t>
            </w:r>
          </w:p>
        </w:tc>
      </w:tr>
      <w:tr>
        <w:tc>
          <w:tcPr>
            <w:tcW w:type="dxa" w:w="2600"/>
          </w:tcPr>
          <w:p>
            <w:r>
              <w:rPr>
                <w:b w:val="false"/>
                <w:bCs w:val="false"/>
                <w:sz w:val="18"/>
                <w:szCs w:val="18"/>
              </w:rPr>
              <w:t xml:space="preserve">Cyclic</w:t>
            </w:r>
          </w:p>
        </w:tc>
        <w:tc>
          <w:tcPr>
            <w:tcW w:type="dxa" w:w="8400"/>
          </w:tcPr>
          <w:p>
            <w:r>
              <w:rPr>
                <w:b w:val="false"/>
                <w:bCs w:val="false"/>
                <w:sz w:val="18"/>
                <w:szCs w:val="18"/>
              </w:rPr>
              <w:t xml:space="preserve">∃k &gt; 0: Fᵏ(P) = P: орбітальне повторення без остаточної фіксації (напр., реплікація однієї моделі поселення в кількох сайтах).</w:t>
            </w:r>
          </w:p>
        </w:tc>
      </w:tr>
      <w:tr>
        <w:tc>
          <w:tcPr>
            <w:tcW w:type="dxa" w:w="2600"/>
          </w:tcPr>
          <w:p>
            <w:r>
              <w:rPr>
                <w:b w:val="false"/>
                <w:bCs w:val="false"/>
                <w:sz w:val="18"/>
                <w:szCs w:val="18"/>
              </w:rPr>
              <w:t xml:space="preserve">Chaotic</w:t>
            </w:r>
          </w:p>
        </w:tc>
        <w:tc>
          <w:tcPr>
            <w:tcW w:type="dxa" w:w="8400"/>
          </w:tcPr>
          <w:p>
            <w:r>
              <w:rPr>
                <w:b w:val="false"/>
                <w:bCs w:val="false"/>
                <w:sz w:val="18"/>
                <w:szCs w:val="18"/>
              </w:rPr>
              <w:t xml:space="preserve">Відсутність стабільної чи циклічної множини; у цій роботі використовується як категорія-контраст до «метастабільного переналаштування», а не як підтверджений опис занепаду Караля.</w:t>
            </w:r>
          </w:p>
        </w:tc>
      </w:tr>
      <w:tr>
        <w:tc>
          <w:tcPr>
            <w:tcW w:type="dxa" w:w="2600"/>
          </w:tcPr>
          <w:p>
            <w:r>
              <w:rPr>
                <w:b w:val="false"/>
                <w:bCs w:val="false"/>
                <w:sz w:val="18"/>
                <w:szCs w:val="18"/>
              </w:rPr>
              <w:t xml:space="preserve">Розрізняльний тест</w:t>
            </w:r>
          </w:p>
        </w:tc>
        <w:tc>
          <w:tcPr>
            <w:tcW w:type="dxa" w:w="8400"/>
          </w:tcPr>
          <w:p>
            <w:r>
              <w:rPr>
                <w:b w:val="false"/>
                <w:bCs w:val="false"/>
                <w:sz w:val="18"/>
                <w:szCs w:val="18"/>
              </w:rPr>
              <w:t xml:space="preserve">Емпіричне спостереження, яке дає різні, взаємовиключні передбачення для конкуруючих гіпотез — методологічний, а не формальний елемент SUBIT, доданий у цій роботі для зв'язку евристики з перевірюваними даними.</w:t>
            </w:r>
          </w:p>
        </w:tc>
      </w:tr>
    </w:tbl>
    <w:p>
      <w:pPr>
        <w:pStyle w:val="Heading1"/>
        <w:spacing w:after="160" w:before="320"/>
      </w:pPr>
      <w:r>
        <w:t xml:space="preserve">Список використаних джерел</w:t>
      </w:r>
    </w:p>
    <w:p>
      <w:pPr>
        <w:spacing w:after="140"/>
        <w:ind w:left="400" w:hanging="400"/>
        <w:jc w:val="both"/>
      </w:pPr>
      <w:r>
        <w:t xml:space="preserve">Coutts, K. H., Chu, A., &amp; Krigbaum, J. (2011). Paleodiet in late Preceramic Peru: Preliminary isotopic data from Bandurria. Journal of Island and Coastal Archaeology, 6(2), 196–210.</w:t>
      </w:r>
    </w:p>
    <w:p>
      <w:pPr>
        <w:spacing w:after="140"/>
        <w:ind w:left="400" w:hanging="400"/>
        <w:jc w:val="both"/>
      </w:pPr>
      <w:r>
        <w:t xml:space="preserve">Creamer, W., Haas, J., Jakaitis III, E., &amp; Holguin, J. (2011). Far from the shore: Comparison of marine invertebrates in midden deposits from two sites in the Norte Chico, Peru. Journal of Island and Coastal Archaeology, 6(2), 176–195.</w:t>
      </w:r>
    </w:p>
    <w:p>
      <w:pPr>
        <w:spacing w:after="140"/>
        <w:ind w:left="400" w:hanging="400"/>
        <w:jc w:val="both"/>
      </w:pPr>
      <w:r>
        <w:t xml:space="preserve">Haas, J., Creamer, W., &amp; Ruiz, A. (2004). Dating the Late Archaic occupation of the Norte Chico region in Peru. Nature, 432, 1020–1023.</w:t>
      </w:r>
    </w:p>
    <w:p>
      <w:pPr>
        <w:spacing w:after="140"/>
        <w:ind w:left="400" w:hanging="400"/>
        <w:jc w:val="both"/>
      </w:pPr>
      <w:r>
        <w:t xml:space="preserve">Haas, J., &amp; Creamer, W. (2006). Crucible of Andean civilization: The Peruvian coast from 3000 to 1800 BC. Current Anthropology, 47(5), 745–775.</w:t>
      </w:r>
    </w:p>
    <w:p>
      <w:pPr>
        <w:spacing w:after="140"/>
        <w:ind w:left="400" w:hanging="400"/>
        <w:jc w:val="both"/>
      </w:pPr>
      <w:r>
        <w:t xml:space="preserve">Haas, J., Creamer, W., Huamán Mesía, L., Goldstein, D. J., Reinhard, K., &amp; Vergel Rodríguez, C. (2013). Evidence for maize (Zea mays) in the Late Archaic (3000–1800 B.C.) in the Norte Chico region of Peru. Proceedings of the National Academy of Sciences, 110(13), 4945–4949.</w:t>
      </w:r>
    </w:p>
    <w:p>
      <w:pPr>
        <w:spacing w:after="140"/>
        <w:ind w:left="400" w:hanging="400"/>
        <w:jc w:val="both"/>
      </w:pPr>
      <w:r>
        <w:t xml:space="preserve">Moseley, M. E. (1975). The Maritime Foundations of Andean Civilization. Cummings Publishing Company.</w:t>
      </w:r>
    </w:p>
    <w:p>
      <w:pPr>
        <w:spacing w:after="140"/>
        <w:ind w:left="400" w:hanging="400"/>
        <w:jc w:val="both"/>
      </w:pPr>
      <w:r>
        <w:t xml:space="preserve">Pezo-Lanfranco, L., et al. (2022). The diet at the onset of the Andean Civilization: New stable isotope data from Caral and Áspero, North-Central Coast of Peru. American Journal of Physical Anthropology (опубліковано онлайн 2021).</w:t>
      </w:r>
    </w:p>
    <w:p>
      <w:pPr>
        <w:spacing w:after="140"/>
        <w:ind w:left="400" w:hanging="400"/>
        <w:jc w:val="both"/>
      </w:pPr>
      <w:r>
        <w:t xml:space="preserve">Sandweiss, D. H., Solís, R. S., Moseley, M. E., Keefer, D. K., &amp; Ortloff, C. R. (2009). Environmental change and economic development in coastal Peru between 5,800 and 3,600 years ago. Proceedings of the National Academy of Sciences, 106(5), 1359–1363.</w:t>
      </w:r>
    </w:p>
    <w:p>
      <w:pPr>
        <w:spacing w:after="140"/>
        <w:ind w:left="400" w:hanging="400"/>
        <w:jc w:val="both"/>
      </w:pPr>
      <w:r>
        <w:t xml:space="preserve">Shady Solís, R., Haas, J., &amp; Creamer, W. (2001). Dating Caral, a Preceramic site in the Supe Valley on the central coast of Peru. Science, 292, 723–726.</w:t>
      </w:r>
    </w:p>
    <w:p>
      <w:pPr>
        <w:spacing w:after="140"/>
        <w:ind w:left="400" w:hanging="400"/>
        <w:jc w:val="both"/>
      </w:pPr>
      <w:r>
        <w:t xml:space="preserve">Shady Solís, R. (2025). Польові дослідження на сайтах Вічама і Пеніко (за повідомленнями у ЗМІ; потребує підтвердження в рецензованому виданні).</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2026-07-28T23:57:05.846Z</dcterms:created>
  <dcterms:modified xsi:type="dcterms:W3CDTF">2026-07-28T23:57:05.861Z</dcterms:modified>
</cp:coreProperties>
</file>

<file path=docProps/custom.xml><?xml version="1.0" encoding="utf-8"?>
<Properties xmlns="http://schemas.openxmlformats.org/officeDocument/2006/custom-properties" xmlns:vt="http://schemas.openxmlformats.org/officeDocument/2006/docPropsVTypes"/>
</file>