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Формування і занепад цивілізації Караль-Супе: критичний огляд гіпотез з використанням евристичного фрейму SUBIT</w:t>
      </w:r>
    </w:p>
    <w:p>
      <w:pPr>
        <w:spacing w:after="100"/>
        <w:jc w:val="center"/>
      </w:pPr>
      <w:r>
        <w:rPr>
          <w:i/>
          <w:iCs/>
          <w:sz w:val="22"/>
          <w:szCs w:val="22"/>
        </w:rPr>
        <w:t xml:space="preserve">Літературно-критичний синтез (переглянута версія)</w:t>
      </w:r>
    </w:p>
    <w:p>
      <w:pPr>
        <w:spacing w:after="400"/>
        <w:jc w:val="center"/>
      </w:pPr>
      <w:r>
        <w:rPr>
          <w:sz w:val="20"/>
          <w:szCs w:val="20"/>
        </w:rPr>
        <w:t xml:space="preserve">2026</w:t>
      </w:r>
    </w:p>
    <w:p>
      <w:pPr>
        <w:pStyle w:val="Heading1"/>
        <w:spacing w:after="160" w:before="320"/>
      </w:pPr>
      <w:r>
        <w:t xml:space="preserve">Анотація</w:t>
      </w:r>
    </w:p>
    <w:p>
      <w:pPr>
        <w:spacing w:after="160"/>
        <w:jc w:val="both"/>
      </w:pPr>
      <w:r>
        <w:rPr>
          <w:b w:val="false"/>
          <w:bCs w:val="false"/>
          <w:i w:val="false"/>
          <w:iCs w:val="false"/>
        </w:rPr>
        <w:t xml:space="preserve">Цивілізація Караль-Супе (Норте Чіко, північно-центральне узбережжя Перу, ~3500 – ~1800 рр. до н.е.) є найдавнішим відомим осередком державності в Америці. Попри понад чверть століття систематичних досліджень, у дисципліні залишаються невирішеними два ключові питання: (1) яка підсистема господарства — морська чи землеробська — була першоджерелом монументальності на ранній фазі (~3500 – ~2600 рр. до н.е., умовна межа за медіанними радіовуглецевими оцінками Shady, Haas, &amp; Creamer, 2001; Haas, Creamer, &amp; Ruiz, 2004), і (2) яким був характер занепаду близько 1800 р. до н.е. Ця робота є критичним оглядом наявної першоджерельної літератури з обох питань і пропонує використання формального апарату SUBIT — нотаційної системи станів (WHO-WHERE-WHEN), правил еволюції та динамічного класифікатора стабільності Ω — виключно як евристичного методологічного інструменту для впорядкування конкуруючих гіпотез і формулювання розрізняльних емпіричних тестів. У цій переглянутій версії уточнено бібліографічний апарат (перейменування журналу, DOI), пом'якшено надто категоричне трактування геологічних даних про занепад, додано щойно виявлене рецензоване джерело 2025 р. про Вічаму та розширено розрізняльні тести для фази формування.</w:t>
      </w:r>
    </w:p>
    <w:p>
      <w:pPr>
        <w:spacing w:after="160"/>
        <w:jc w:val="both"/>
      </w:pPr>
      <w:r>
        <w:rPr>
          <w:b w:val="false"/>
          <w:bCs w:val="false"/>
          <w:i/>
          <w:iCs/>
        </w:rPr>
        <w:t xml:space="preserve">Ключові слова: Караль-Супе, Норте Чіко, гіпотеза морських основ, формальна евристика, археологія Перу, палеодієтологія, стабільні ізотопи.</w:t>
      </w:r>
    </w:p>
    <w:p>
      <w:pPr>
        <w:pStyle w:val="Heading1"/>
        <w:spacing w:after="160" w:before="320"/>
      </w:pPr>
      <w:r>
        <w:t xml:space="preserve">1. Вступ</w:t>
      </w:r>
    </w:p>
    <w:p>
      <w:pPr>
        <w:spacing w:after="160"/>
        <w:jc w:val="both"/>
      </w:pPr>
      <w:r>
        <w:rPr>
          <w:b w:val="false"/>
          <w:bCs w:val="false"/>
          <w:i w:val="false"/>
          <w:iCs w:val="false"/>
        </w:rPr>
        <w:t xml:space="preserve">Розкопки Рут Шейді Соліс у Каралі, розпочаті в 1994 р., і подальші радіовуглецеві дослідження Джонатана Гааса, Уініфред Крімер та Альваро Руїса (Shady, Haas, &amp; Creamer, 2001; Haas, Creamer, &amp; Ruiz, 2004) відсунули початок міської цивілізації на тихоокеанському узбережжі Південної Америки на понад тисячу років раніше, ніж вважалося, і встановили комплекс Норте Чіко як один із шести незалежних осередків виникнення цивілізації у світі.</w:t>
      </w:r>
    </w:p>
    <w:p>
      <w:pPr>
        <w:spacing w:after="160"/>
        <w:jc w:val="both"/>
      </w:pPr>
      <w:r>
        <w:rPr>
          <w:b w:val="false"/>
          <w:bCs w:val="false"/>
          <w:i w:val="false"/>
          <w:iCs w:val="false"/>
        </w:rPr>
        <w:t xml:space="preserve">Проте хронологічна першість не розв'язала суперечку про механізм виникнення: дискусія між прихильниками морського й землеробського пояснення соціальної складності триває з кінця 1960-х років (Pezo-Lanfranco et al., 2022), а природа занепаду близько 1800 р. до н.е. залишається предметом активного перегляду, включно з рецензованою публікацією 2025 р. Мета цієї роботи — систематизувати наявну першоджерельну літературу з обох питань та продемонструвати, як формальний евристичний апарат SUBIT може бути використаний для точнішого формулювання розрізняльних емпіричних тестів між конкуруючими гіпотезами, не підміняючи собою емпіричну перевірку.</w:t>
      </w:r>
    </w:p>
    <w:p>
      <w:pPr>
        <w:pStyle w:val="Heading1"/>
        <w:spacing w:after="160" w:before="320"/>
      </w:pPr>
      <w:r>
        <w:t xml:space="preserve">2. Огляд літератури</w:t>
      </w:r>
    </w:p>
    <w:p>
      <w:pPr>
        <w:pStyle w:val="Heading2"/>
        <w:spacing w:after="120" w:before="240"/>
      </w:pPr>
      <w:r>
        <w:t xml:space="preserve">2.1 Гіпотеза морських основ андської цивілізації (Moseley, 1975)</w:t>
      </w:r>
    </w:p>
    <w:p>
      <w:pPr>
        <w:spacing w:after="160"/>
        <w:jc w:val="both"/>
      </w:pPr>
      <w:r>
        <w:rPr>
          <w:b w:val="false"/>
          <w:bCs w:val="false"/>
          <w:i w:val="false"/>
          <w:iCs w:val="false"/>
        </w:rPr>
        <w:t xml:space="preserve">Майкл Мозлі сформулював гіпотезу «Maritime Foundations of Andean Civilization» (MFAC), згідно з якою соціальна складність на узбережжі Перу виникла завдяки експлуатації надзвичайно багатих на анчоуси (Engraulis ringens) прибережних вод Перуанської течії ще до появи іригаційного землеробства (Moseley, 1975; за викладом у Pezo-Lanfranco et al., 2022).</w:t>
      </w:r>
    </w:p>
    <w:p>
      <w:pPr>
        <w:pStyle w:val="Heading2"/>
        <w:spacing w:after="120" w:before="240"/>
      </w:pPr>
      <w:r>
        <w:t xml:space="preserve">2.2 Датування Караля і регіональна хронологія (Shady et al., 2001; Haas et al., 2004)</w:t>
      </w:r>
    </w:p>
    <w:p>
      <w:pPr>
        <w:spacing w:after="160"/>
        <w:jc w:val="both"/>
      </w:pPr>
      <w:r>
        <w:rPr>
          <w:b w:val="false"/>
          <w:bCs w:val="false"/>
          <w:i w:val="false"/>
          <w:iCs w:val="false"/>
        </w:rPr>
        <w:t xml:space="preserve">Датування Караля (Shady, Haas, &amp; Creamer, 2001, Science 292, 723–726, doi:10.1126/science.1059519) показало, що монументальний внутрішній сайт існував одночасно з прибережними поселеннями. Ширше дослідження Гааса, Крімер і Руїса (2004, Nature 432, 1020–1023, doi:10.1038/nature03146), що охопило 95 радіовуглецевих дат із 13 сайтів долин Пативілька і Фортальеса, підтвердило існування великого культурного комплексу в період 3000–1800 рр. до н.е. і показало, що прибережний та внутрішній розвиток відбувався швидше паралельно, ніж послідовно.</w:t>
      </w:r>
    </w:p>
    <w:p>
      <w:pPr>
        <w:pStyle w:val="Heading2"/>
        <w:spacing w:after="120" w:before="240"/>
      </w:pPr>
      <w:r>
        <w:t xml:space="preserve">2.3 Археозоологічні та ізотопні дослідження 2011 року: внутрішня суперечність даних</w:t>
      </w:r>
    </w:p>
    <w:p>
      <w:pPr>
        <w:spacing w:after="160"/>
        <w:jc w:val="both"/>
      </w:pPr>
      <w:r>
        <w:rPr>
          <w:b w:val="false"/>
          <w:bCs w:val="false"/>
          <w:i w:val="false"/>
          <w:iCs w:val="false"/>
        </w:rPr>
        <w:t xml:space="preserve">У межах спеціального випуску Journal of Island and Coastal Archaeology (2011) вийшли дві роботи з протилежними висновками. Крімер, Гаас, Джакайтіс та Ольгін (Creamer, Haas, Jakaitis, &amp; Holguin, 2011, doi:10.1080/15564894.2011.582071), порівнюючи морські безхребетні у смітникових відкладеннях прибережного (Порвенір) і внутрішнього (Уарікандза) поселень долини Фортальеса, не виявили суттєвої різниці в інтенсивності використання морських ресурсів між ними. Натомість Коутс, Чу і Крігбаум (Coutts, Chu, &amp; Krigbaum, 2011, doi:10.1080/15564894.2011.586086), аналізуючи стабільні ізотопи людських решток із прибережної Бандурії у порівнянні з внутрішнім Каралем, дійшли протилежного висновку — що населення Караля значно менше покладалося на морські ресурси. Ця пряма суперечність двох одночасно опублікованих досліджень ілюструє, що питання про ступінь морсько-землеробської інтеграції на момент 2011 р. залишалося емпірично невирішеним.</w:t>
      </w:r>
    </w:p>
    <w:p>
      <w:pPr>
        <w:pStyle w:val="Heading2"/>
        <w:spacing w:after="120" w:before="240"/>
      </w:pPr>
      <w:r>
        <w:t xml:space="preserve">2.4 Пряме тестування MFAC на матеріалі одного й того ж басейну (Pezo-Lanfranco et al., 2022)</w:t>
      </w:r>
    </w:p>
    <w:p>
      <w:pPr>
        <w:spacing w:after="160"/>
        <w:jc w:val="both"/>
      </w:pPr>
      <w:r>
        <w:rPr>
          <w:b w:val="false"/>
          <w:bCs w:val="false"/>
          <w:i w:val="false"/>
          <w:iCs w:val="false"/>
        </w:rPr>
        <w:t xml:space="preserve">Методологічну прогалину попередніх досліджень частково усунула робота Пезо-Ланфранко та колег, опублікована в American Journal of Biological Anthropology (журнал перейменовано з American Journal of Physical Anthropology у 2022 р.; Pezo-Lanfranco, Machacuay, Novoa, Peralta, Mayer, Eggers, &amp; Shady, 2022, Am. J. Biol. Anthropol. 177(3), 402–424, doi:10.1002/ajpa.24445). Дослідження проаналізувало стабільні ізотопи (δ13C, δ15N) 52 осіб (70 зразків) безпосередньо з Караля і Аспіро — двох найважливіших сайтів долини Супе — і виявило переважання вуглеводів C3-рослин у раціоні обох сайтів (55–68% калорій в Аспіро, понад 70% у Каралі), причому морський білок залишався стабільно важливим у прибережному Аспіро, тоді як у внутрішньому Каралі його частка поступово зменшувалася з часом. Автори експліцитно роблять висновок, що отримані дані не підтверджують гіпотезу MFAC у її первісному формулюванні.</w:t>
      </w:r>
    </w:p>
    <w:p>
      <w:pPr>
        <w:pStyle w:val="Heading2"/>
        <w:spacing w:after="120" w:before="240"/>
      </w:pPr>
      <w:r>
        <w:t xml:space="preserve">2.5 Геологічні дослідження причин занепаду (Sandweiss et al., 2009)</w:t>
      </w:r>
    </w:p>
    <w:p>
      <w:pPr>
        <w:spacing w:after="160"/>
        <w:jc w:val="both"/>
      </w:pPr>
      <w:r>
        <w:rPr>
          <w:b w:val="false"/>
          <w:bCs w:val="false"/>
          <w:i w:val="false"/>
          <w:iCs w:val="false"/>
        </w:rPr>
        <w:t xml:space="preserve">Сендвайс, Соліс, Мозлі, Кіфер та Ортлофф (Sandweiss, Solís, Moseley, Keefer, &amp; Ortloff, 2009, PNAS 106(5), 1359–1363, doi:10.1073/pnas.0812645106) дослідили екологічні зміни на узбережжі Перу протягом ширшого періоду ≈5800–3600 cal BP, упродовж якого існували найбільші монументальні поселення Західної півкулі, засновані на інтенсивному рибальстві та зрошуваних садах без кераміки й ткацтва. У межах цього ширшого вікна автори документують конкретний цикл природних катастроф — землетруси, повені Ель-Ніньйо, утворення пляжних валів і наступ піщаних дюн — датований приблизно 3800 cal BP (≈1850 р. до н.е.), після якого ця господарська модель була різко залишена й поступово замінена суспільствами, що більше покладалися на землеробські культури, кераміку й ткацтво. Ця дата (≈1850 р. до н.е.) впритул наближається до умовного маркера занепаду (~1800 р. до н.е.), а отже є не лише віддаленою передумовою вразливості, а й правдоподібним прямим тригером самого переходу.</w:t>
      </w:r>
    </w:p>
    <w:p>
      <w:pPr>
        <w:pStyle w:val="Heading2"/>
        <w:spacing w:after="120" w:before="240"/>
      </w:pPr>
      <w:r>
        <w:t xml:space="preserve">2.6 Нові дані про період після Караля: Вічама (Pezo-Lanfranco et al., 2025)</w:t>
      </w:r>
    </w:p>
    <w:p>
      <w:pPr>
        <w:spacing w:after="160"/>
        <w:jc w:val="both"/>
      </w:pPr>
      <w:r>
        <w:rPr>
          <w:b w:val="false"/>
          <w:bCs w:val="false"/>
          <w:i w:val="false"/>
          <w:iCs w:val="false"/>
        </w:rPr>
        <w:t xml:space="preserve">На противагу медійним повідомленням 2025 р. (які згадують посуху ~4200 років тому і site Пеніко без деталізованого рецензованого підтвердження), у липні 2025 р. вийшла рецензована стаття тієї ж дослідницької групи в Frontiers in Environmental Archaeology (Pezo-Lanfranco, Crispin, Prado-Barragán, Abad, Machacuay, Yseki, Gorriti, Miranda, Apolín, DiMuro, Novoa, Colonese, &amp; Shady, 2025, Front. Environ. Archaeol. 4:1611071, doi:10.3389/fearc.2025.1611071). Дослідження проаналізувало стабільні ізотопи 38 осіб із Вічами (долина Уаура) для двох періодів — Раннього Формативного-1 (EF-1, 1800–1500 рр. до н.е.) та Пізнього Проміжного (1000–1300 рр. н.е.). Автори прямо зазначають, що Вічама, ймовірно, являла собою підйом нового соціополітичного центру в регіоні після занепаду суспільства Караля, і документують у фазі EF-1 (яка починається рівно на позначці умовного занепаду Караля, ~1800 р. до н.е.) землеробсько-рибальську економіку з домінуванням C3-рослин — тобто господарську модель, спадкоємну щодо попередньої формативної традиції, а не розрив із нею.</w:t>
      </w:r>
    </w:p>
    <w:p>
      <w:pPr>
        <w:spacing w:after="160"/>
        <w:jc w:val="both"/>
      </w:pPr>
      <w:r>
        <w:rPr>
          <w:b w:val="false"/>
          <w:bCs w:val="false"/>
          <w:i w:val="false"/>
          <w:iCs w:val="false"/>
        </w:rPr>
        <w:t xml:space="preserve">Важливе уточнення: ця рецензована стаття не тестує безпосередньо наратив «посуха спричинила міграцію» і не згадує сайт Пеніко; її предмет — реконструкція дієти й зв'язок зі змінами морської продуктивності (Ель-Ніньйо/Ла-Ніньйо цикли), а не причини залишення Караля як такого. Тому коректний висновок обмеженіший, ніж медійне формулювання: рецензована література наразі підтверджує факт виникнення нового прибережного центру (Вічама) відразу після занепаду Караля зі спадкоємністю господарської традиції, але не підтверджує незалежно специфічний причинно-наслідковий механізм «мегазасуха → організована міграція», який залишається на рівні повідомлень ЗМІ до публікації окремого дослідження, присвяченого власне причинам залишення Караля.</w:t>
      </w:r>
    </w:p>
    <w:p>
      <w:pPr>
        <w:pStyle w:val="Heading1"/>
        <w:spacing w:after="160" w:before="320"/>
      </w:pPr>
      <w:r>
        <w:t xml:space="preserve">3. Теоретико-методологічна рамка: SUBIT як евристичний інструмент</w:t>
      </w:r>
    </w:p>
    <w:p>
      <w:pPr>
        <w:pStyle w:val="Heading2"/>
        <w:spacing w:after="120" w:before="240"/>
      </w:pPr>
      <w:r>
        <w:t xml:space="preserve">3.1 Формальний апарат і приклад застосування</w:t>
      </w:r>
    </w:p>
    <w:p>
      <w:pPr>
        <w:spacing w:after="160"/>
        <w:jc w:val="both"/>
      </w:pPr>
      <w:r>
        <w:rPr>
          <w:b w:val="false"/>
          <w:bCs w:val="false"/>
          <w:i w:val="false"/>
          <w:iCs w:val="false"/>
        </w:rPr>
        <w:t xml:space="preserve">SUBIT визначає стан як трійку координат WHO-WHERE-WHEN, до якої в розширеній версії (SUBIT⁺) додається активне правило еволюції ρ, що належить самому стану. Оператор еволюції F(s, ρ) = (f_ρ(s), g(ρ, s)) одночасно змінює стан і правило. Класифікатор Ω = {stable, metastable, cyclic, chaotic} визначає, чи є множина станів P стабільною: P є стабільним тоді й лише тоді, коли F(P) ⊆ P.</w:t>
      </w:r>
    </w:p>
    <w:p>
      <w:pPr>
        <w:spacing w:after="160"/>
        <w:jc w:val="both"/>
      </w:pPr>
      <w:r>
        <w:rPr>
          <w:b w:val="false"/>
          <w:bCs w:val="false"/>
          <w:i w:val="false"/>
          <w:iCs w:val="false"/>
        </w:rPr>
        <w:t xml:space="preserve">Розгорнутий приклад. Нехай s = (WHO: громада долини Супе, WHERE: Караль, WHEN: ~2600 р. до н.е.), а ρ = «мобілізувати надлишок C3-бульб для будівництва монументальної платформи». Тоді F(s, ρ) дає нову архітектурну фазу разом із відтворенням (посиленням) того самого правила ρ на наступному циклі. Якщо це відтворення триває — тобто множина станів P, породжена цим правилом, задовольняє F(P) ⊆ P, — клас Ω = stable коректно описує систему, що самовідтворюється. Якщо ж на позначці ~1800 р. до н.е. правило ρ замінюється на ρ' = «мігрувати вздовж узбережжя, заснувавши новий центр (Вічама), зберігши землеробсько-рибальську модель», це є метаеволюцією (функція g), а не простим припиненням F(P) ⊆ P: клас переходу точніше описується як metastable, а не chaotic, оскільки господарська й символічна структура частково успадковується новим правилом.</w:t>
      </w:r>
    </w:p>
    <w:p>
      <w:pPr>
        <w:pStyle w:val="Heading2"/>
        <w:spacing w:after="120" w:before="240"/>
      </w:pPr>
      <w:r>
        <w:t xml:space="preserve">3.2 Епістемологічний статус фрейму в цьому дослідженні</w:t>
      </w:r>
    </w:p>
    <w:p>
      <w:pPr>
        <w:spacing w:after="160"/>
        <w:jc w:val="both"/>
      </w:pPr>
      <w:r>
        <w:rPr>
          <w:b w:val="false"/>
          <w:bCs w:val="false"/>
          <w:i w:val="false"/>
          <w:iCs w:val="false"/>
        </w:rPr>
        <w:t xml:space="preserve">У цій роботі формалізм SUBIT застосовується виключно на етапі побудови гіпотез, а не на етапі верифікації. Присвоєння Ω-ярлика саме по собі не є емпіричним підтвердженням; його функція — змусити сформулювати конкретне правило ρ і конкретне емпіричне передбачення, яке відрізняє одну гіпотезу від іншої. Усі фактичні висновки цієї роботи спираються виключно на джерела, наведені в розділі 2 та у списку літератури.</w:t>
      </w:r>
    </w:p>
    <w:p>
      <w:pPr>
        <w:pStyle w:val="Heading1"/>
        <w:spacing w:after="160" w:before="320"/>
      </w:pPr>
      <w:r>
        <w:t xml:space="preserve">4. Вузол 1: Фаза формування (~3500 – ~2600 рр. до н.е.)</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00"/>
        <w:gridCol w:w="3000"/>
      </w:tblGrid>
      <w:tr>
        <w:tc>
          <w:tcPr>
            <w:tcW w:type="dxa" w:w="1900"/>
            <w:shd w:fill="D9D9D9" w:val="clear"/>
          </w:tcPr>
          <w:p>
            <w:r>
              <w:rPr>
                <w:b/>
                <w:bCs/>
                <w:sz w:val="18"/>
                <w:szCs w:val="18"/>
              </w:rPr>
              <w:t xml:space="preserve">Гіпотеза</w:t>
            </w:r>
          </w:p>
        </w:tc>
        <w:tc>
          <w:tcPr>
            <w:tcW w:type="dxa" w:w="2600"/>
            <w:shd w:fill="D9D9D9" w:val="clear"/>
          </w:tcPr>
          <w:p>
            <w:r>
              <w:rPr>
                <w:b/>
                <w:bCs/>
                <w:sz w:val="18"/>
                <w:szCs w:val="18"/>
              </w:rPr>
              <w:t xml:space="preserve">Механізм</w:t>
            </w:r>
          </w:p>
        </w:tc>
        <w:tc>
          <w:tcPr>
            <w:tcW w:type="dxa" w:w="2700"/>
            <w:shd w:fill="D9D9D9" w:val="clear"/>
          </w:tcPr>
          <w:p>
            <w:r>
              <w:rPr>
                <w:b/>
                <w:bCs/>
                <w:sz w:val="18"/>
                <w:szCs w:val="18"/>
              </w:rPr>
              <w:t xml:space="preserve">Емпіричне передбачення</w:t>
            </w:r>
          </w:p>
        </w:tc>
        <w:tc>
          <w:tcPr>
            <w:tcW w:type="dxa" w:w="3000"/>
            <w:shd w:fill="D9D9D9" w:val="clear"/>
          </w:tcPr>
          <w:p>
            <w:r>
              <w:rPr>
                <w:b/>
                <w:bCs/>
                <w:sz w:val="18"/>
                <w:szCs w:val="18"/>
              </w:rPr>
              <w:t xml:space="preserve">Стан підтвердження</w:t>
            </w:r>
          </w:p>
        </w:tc>
      </w:tr>
      <w:tr>
        <w:tc>
          <w:tcPr>
            <w:tcW w:type="dxa" w:w="1900"/>
          </w:tcPr>
          <w:p>
            <w:r>
              <w:rPr>
                <w:b w:val="false"/>
                <w:bCs w:val="false"/>
                <w:sz w:val="18"/>
                <w:szCs w:val="18"/>
              </w:rPr>
              <w:t xml:space="preserve">A. Морська першість (MFAC)
Moseley, 1975</w:t>
            </w:r>
          </w:p>
        </w:tc>
        <w:tc>
          <w:tcPr>
            <w:tcW w:type="dxa" w:w="2600"/>
          </w:tcPr>
          <w:p>
            <w:r>
              <w:rPr>
                <w:b w:val="false"/>
                <w:bCs w:val="false"/>
                <w:sz w:val="18"/>
                <w:szCs w:val="18"/>
              </w:rPr>
              <w:t xml:space="preserve">Морські ресурси дають надлишок і осілість до землеробства; прибережні сайти виникають першими й домінують.</w:t>
            </w:r>
          </w:p>
        </w:tc>
        <w:tc>
          <w:tcPr>
            <w:tcW w:type="dxa" w:w="2700"/>
          </w:tcPr>
          <w:p>
            <w:r>
              <w:rPr>
                <w:b w:val="false"/>
                <w:bCs w:val="false"/>
                <w:sz w:val="18"/>
                <w:szCs w:val="18"/>
              </w:rPr>
              <w:t xml:space="preserve">Мінімальні докази землеробства в ранніх прибережних шарах.</w:t>
            </w:r>
          </w:p>
        </w:tc>
        <w:tc>
          <w:tcPr>
            <w:tcW w:type="dxa" w:w="3000"/>
          </w:tcPr>
          <w:p>
            <w:r>
              <w:rPr>
                <w:b w:val="false"/>
                <w:bCs w:val="false"/>
                <w:sz w:val="18"/>
                <w:szCs w:val="18"/>
              </w:rPr>
              <w:t xml:space="preserve">Не підтверджено: Haas et al. (2013, doi:10.1073/pnas.1219425110) документують раннє й широке землеробство; Pezo-Lanfranco et al. (2022) фіксують домінування C3-рослин з самого початку в обох сайтах Супе.</w:t>
            </w:r>
          </w:p>
        </w:tc>
      </w:tr>
      <w:tr>
        <w:tc>
          <w:tcPr>
            <w:tcW w:type="dxa" w:w="1900"/>
          </w:tcPr>
          <w:p>
            <w:r>
              <w:rPr>
                <w:b w:val="false"/>
                <w:bCs w:val="false"/>
                <w:sz w:val="18"/>
                <w:szCs w:val="18"/>
              </w:rPr>
              <w:t xml:space="preserve">B. Землеробська/внутрішня першість
Haas, Shady</w:t>
            </w:r>
          </w:p>
        </w:tc>
        <w:tc>
          <w:tcPr>
            <w:tcW w:type="dxa" w:w="2600"/>
          </w:tcPr>
          <w:p>
            <w:r>
              <w:rPr>
                <w:b w:val="false"/>
                <w:bCs w:val="false"/>
                <w:sz w:val="18"/>
                <w:szCs w:val="18"/>
              </w:rPr>
              <w:t xml:space="preserve">Іригаційне землеробство у внутрішніх долинах — першоджерело економічної влади.</w:t>
            </w:r>
          </w:p>
        </w:tc>
        <w:tc>
          <w:tcPr>
            <w:tcW w:type="dxa" w:w="2700"/>
          </w:tcPr>
          <w:p>
            <w:r>
              <w:rPr>
                <w:b w:val="false"/>
                <w:bCs w:val="false"/>
                <w:sz w:val="18"/>
                <w:szCs w:val="18"/>
              </w:rPr>
              <w:t xml:space="preserve">Внутрішні сайти більші й давніші; ранні канали зрошення старші за прибережну монументальність.</w:t>
            </w:r>
          </w:p>
        </w:tc>
        <w:tc>
          <w:tcPr>
            <w:tcW w:type="dxa" w:w="3000"/>
          </w:tcPr>
          <w:p>
            <w:r>
              <w:rPr>
                <w:b w:val="false"/>
                <w:bCs w:val="false"/>
                <w:sz w:val="18"/>
                <w:szCs w:val="18"/>
              </w:rPr>
              <w:t xml:space="preserve">Частково підтверджено щодо масштабу (Haas &amp; Creamer, 2006, doi:10.1086/506281); проте пряма перевірка (вік найдавніших каналів Супе) є відкритою емпіричною лакуною — археологічних даних про канали долини Супе до 3000 р. до н.е. в опрацьованих джерелах не виявлено.</w:t>
            </w:r>
          </w:p>
        </w:tc>
      </w:tr>
      <w:tr>
        <w:tc>
          <w:tcPr>
            <w:tcW w:type="dxa" w:w="1900"/>
          </w:tcPr>
          <w:p>
            <w:r>
              <w:rPr>
                <w:b w:val="false"/>
                <w:bCs w:val="false"/>
                <w:sz w:val="18"/>
                <w:szCs w:val="18"/>
              </w:rPr>
              <w:t xml:space="preserve">C. Паралельна компліментарність
Sandweiss &amp; Moseley (ревізія)</w:t>
            </w:r>
          </w:p>
        </w:tc>
        <w:tc>
          <w:tcPr>
            <w:tcW w:type="dxa" w:w="2600"/>
          </w:tcPr>
          <w:p>
            <w:r>
              <w:rPr>
                <w:b w:val="false"/>
                <w:bCs w:val="false"/>
                <w:sz w:val="18"/>
                <w:szCs w:val="18"/>
              </w:rPr>
              <w:t xml:space="preserve">Морська й землеробська підсистеми розвиваються одночасно, пов'язані обміном.</w:t>
            </w:r>
          </w:p>
        </w:tc>
        <w:tc>
          <w:tcPr>
            <w:tcW w:type="dxa" w:w="2700"/>
          </w:tcPr>
          <w:p>
            <w:r>
              <w:rPr>
                <w:b w:val="false"/>
                <w:bCs w:val="false"/>
                <w:sz w:val="18"/>
                <w:szCs w:val="18"/>
              </w:rPr>
              <w:t xml:space="preserve">Синхронність виникнення; двобічні докази обміну.</w:t>
            </w:r>
          </w:p>
        </w:tc>
        <w:tc>
          <w:tcPr>
            <w:tcW w:type="dxa" w:w="3000"/>
          </w:tcPr>
          <w:p>
            <w:r>
              <w:rPr>
                <w:b w:val="false"/>
                <w:bCs w:val="false"/>
                <w:sz w:val="18"/>
                <w:szCs w:val="18"/>
              </w:rPr>
              <w:t xml:space="preserve">Частково підтверджено і частково спростовано: Creamer et al. (2011) підтримують тісну інтеграцію, Coutts et al. (2011) — заперечують; Pezo-Lanfranco et al. (2022) фіксують ослаблення морської складової в Каралі з часом, що суперечить стійкій симетричній моделі.</w:t>
            </w:r>
          </w:p>
        </w:tc>
      </w:tr>
    </w:tbl>
    <w:p>
      <w:pPr>
        <w:spacing w:after="160"/>
        <w:jc w:val="both"/>
      </w:pPr>
      <w:r>
        <w:rPr>
          <w:b w:val="false"/>
          <w:bCs w:val="false"/>
          <w:i w:val="false"/>
          <w:iCs w:val="false"/>
        </w:rPr>
        <w:t xml:space="preserve">Сукупний аналіз джерел 2.1–2.4 вказує, що гіпотеза A на сьогодні найслабше підтверджена. Суперечка між B і C не вирішена: найточніше дослідження (Pezo-Lanfranco et al., 2022) документує асиметричний, змінний у часі баланс, а не постійну симетричну компліментарність — землеробство домінує з початку, морська складова стабільно вагома на узбережжі й поступово слабшає всередині суходолу. Ключовий розрізняльний тест між B і C — відносний вік найдавніших іригаційних каналів долини Супе порівняно з найдавнішою прибережною монументальністю — на сьогодні лишається неперевіреним через брак опублікованих даних саме для цієї долини.</w:t>
      </w:r>
    </w:p>
    <w:p>
      <w:pPr>
        <w:pStyle w:val="Heading1"/>
        <w:spacing w:after="160" w:before="320"/>
      </w:pPr>
      <w:r>
        <w:t xml:space="preserve">5. Вузол 2: Фаза занепаду (~1800 р. до н.е.)</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00"/>
        <w:gridCol w:w="2700"/>
      </w:tblGrid>
      <w:tr>
        <w:tc>
          <w:tcPr>
            <w:tcW w:type="dxa" w:w="2100"/>
            <w:shd w:fill="D9D9D9" w:val="clear"/>
          </w:tcPr>
          <w:p>
            <w:r>
              <w:rPr>
                <w:b/>
                <w:bCs/>
                <w:sz w:val="18"/>
                <w:szCs w:val="18"/>
              </w:rPr>
              <w:t xml:space="preserve">Гіпотеза</w:t>
            </w:r>
          </w:p>
        </w:tc>
        <w:tc>
          <w:tcPr>
            <w:tcW w:type="dxa" w:w="2700"/>
            <w:shd w:fill="D9D9D9" w:val="clear"/>
          </w:tcPr>
          <w:p>
            <w:r>
              <w:rPr>
                <w:b/>
                <w:bCs/>
                <w:sz w:val="18"/>
                <w:szCs w:val="18"/>
              </w:rPr>
              <w:t xml:space="preserve">Механізм</w:t>
            </w:r>
          </w:p>
        </w:tc>
        <w:tc>
          <w:tcPr>
            <w:tcW w:type="dxa" w:w="2700"/>
            <w:shd w:fill="D9D9D9" w:val="clear"/>
          </w:tcPr>
          <w:p>
            <w:r>
              <w:rPr>
                <w:b/>
                <w:bCs/>
                <w:sz w:val="18"/>
                <w:szCs w:val="18"/>
              </w:rPr>
              <w:t xml:space="preserve">Емпіричне передбачення</w:t>
            </w:r>
          </w:p>
        </w:tc>
        <w:tc>
          <w:tcPr>
            <w:tcW w:type="dxa" w:w="2700"/>
            <w:shd w:fill="D9D9D9" w:val="clear"/>
          </w:tcPr>
          <w:p>
            <w:r>
              <w:rPr>
                <w:b/>
                <w:bCs/>
                <w:sz w:val="18"/>
                <w:szCs w:val="18"/>
              </w:rPr>
              <w:t xml:space="preserve">Стан підтвердження</w:t>
            </w:r>
          </w:p>
        </w:tc>
      </w:tr>
      <w:tr>
        <w:tc>
          <w:tcPr>
            <w:tcW w:type="dxa" w:w="2100"/>
          </w:tcPr>
          <w:p>
            <w:r>
              <w:rPr>
                <w:b w:val="false"/>
                <w:bCs w:val="false"/>
                <w:sz w:val="18"/>
                <w:szCs w:val="18"/>
              </w:rPr>
              <w:t xml:space="preserve">A. Геолого-кліматичний шок
Sandweiss et al., 2009</w:t>
            </w:r>
          </w:p>
        </w:tc>
        <w:tc>
          <w:tcPr>
            <w:tcW w:type="dxa" w:w="2700"/>
          </w:tcPr>
          <w:p>
            <w:r>
              <w:rPr>
                <w:b w:val="false"/>
                <w:bCs w:val="false"/>
                <w:sz w:val="18"/>
                <w:szCs w:val="18"/>
              </w:rPr>
              <w:t xml:space="preserve">Цикл природних катастроф (землетруси, повені Ель-Ніньйо) датований ≈3800 cal BP (≈1850 до н.е.) руйнує господарську інфраструктуру.</w:t>
            </w:r>
          </w:p>
        </w:tc>
        <w:tc>
          <w:tcPr>
            <w:tcW w:type="dxa" w:w="2700"/>
          </w:tcPr>
          <w:p>
            <w:r>
              <w:rPr>
                <w:b w:val="false"/>
                <w:bCs w:val="false"/>
                <w:sz w:val="18"/>
                <w:szCs w:val="18"/>
              </w:rPr>
              <w:t xml:space="preserve">Стратиграфічні свідчення різких геоморфологічних змін навколо ≈1850 до н.е.</w:t>
            </w:r>
          </w:p>
        </w:tc>
        <w:tc>
          <w:tcPr>
            <w:tcW w:type="dxa" w:w="2700"/>
          </w:tcPr>
          <w:p>
            <w:r>
              <w:rPr>
                <w:b w:val="false"/>
                <w:bCs w:val="false"/>
                <w:sz w:val="18"/>
                <w:szCs w:val="18"/>
              </w:rPr>
              <w:t xml:space="preserve">Підтверджено на рівні геоархеологічних даних (Sandweiss et al., 2009) як конкретно датований цикл катастроф, що впритул передує занепаду — не лише віддалена передумова, а правдоподібний прямий тригер.</w:t>
            </w:r>
          </w:p>
        </w:tc>
      </w:tr>
      <w:tr>
        <w:tc>
          <w:tcPr>
            <w:tcW w:type="dxa" w:w="2100"/>
          </w:tcPr>
          <w:p>
            <w:r>
              <w:rPr>
                <w:b w:val="false"/>
                <w:bCs w:val="false"/>
                <w:sz w:val="18"/>
                <w:szCs w:val="18"/>
              </w:rPr>
              <w:t xml:space="preserve">B. Поступова іригаційна деградація</w:t>
            </w:r>
          </w:p>
        </w:tc>
        <w:tc>
          <w:tcPr>
            <w:tcW w:type="dxa" w:w="2700"/>
          </w:tcPr>
          <w:p>
            <w:r>
              <w:rPr>
                <w:b w:val="false"/>
                <w:bCs w:val="false"/>
                <w:sz w:val="18"/>
                <w:szCs w:val="18"/>
              </w:rPr>
              <w:t xml:space="preserve">Циклічні епізоди Ель-Ніньйо поступово підривають канальне зрошення; внутрішні сайти слабшають раніше прибережних.</w:t>
            </w:r>
          </w:p>
        </w:tc>
        <w:tc>
          <w:tcPr>
            <w:tcW w:type="dxa" w:w="2700"/>
          </w:tcPr>
          <w:p>
            <w:r>
              <w:rPr>
                <w:b w:val="false"/>
                <w:bCs w:val="false"/>
                <w:sz w:val="18"/>
                <w:szCs w:val="18"/>
              </w:rPr>
              <w:t xml:space="preserve">Асинхронне, географічно градієнтне залишення сайтів.</w:t>
            </w:r>
          </w:p>
        </w:tc>
        <w:tc>
          <w:tcPr>
            <w:tcW w:type="dxa" w:w="2700"/>
          </w:tcPr>
          <w:p>
            <w:r>
              <w:rPr>
                <w:b w:val="false"/>
                <w:bCs w:val="false"/>
                <w:sz w:val="18"/>
                <w:szCs w:val="18"/>
              </w:rPr>
              <w:t xml:space="preserve">Не підтверджено й не спростовано: пряме порівняльне датування залишення прибережних і внутрішніх сайтів долини Супе в опрацьованих джерелах не виявлено.</w:t>
            </w:r>
          </w:p>
        </w:tc>
      </w:tr>
      <w:tr>
        <w:tc>
          <w:tcPr>
            <w:tcW w:type="dxa" w:w="2100"/>
          </w:tcPr>
          <w:p>
            <w:r>
              <w:rPr>
                <w:b w:val="false"/>
                <w:bCs w:val="false"/>
                <w:sz w:val="18"/>
                <w:szCs w:val="18"/>
              </w:rPr>
              <w:t xml:space="preserve">C. Посуха з адаптивною міграцією і спадкоємністю</w:t>
            </w:r>
          </w:p>
        </w:tc>
        <w:tc>
          <w:tcPr>
            <w:tcW w:type="dxa" w:w="2700"/>
          </w:tcPr>
          <w:p>
            <w:r>
              <w:rPr>
                <w:b w:val="false"/>
                <w:bCs w:val="false"/>
                <w:sz w:val="18"/>
                <w:szCs w:val="18"/>
              </w:rPr>
              <w:t xml:space="preserve">Кліматичний стрес порушує землеробство; населення засновує нові центри (Вічама), зберігаючи господарську модель.</w:t>
            </w:r>
          </w:p>
        </w:tc>
        <w:tc>
          <w:tcPr>
            <w:tcW w:type="dxa" w:w="2700"/>
          </w:tcPr>
          <w:p>
            <w:r>
              <w:rPr>
                <w:b w:val="false"/>
                <w:bCs w:val="false"/>
                <w:sz w:val="18"/>
                <w:szCs w:val="18"/>
              </w:rPr>
              <w:t xml:space="preserve">Новий центр виникає невдовзі після залишення Караля, з економічною/культурною спадкоємністю, а не розривом.</w:t>
            </w:r>
          </w:p>
        </w:tc>
        <w:tc>
          <w:tcPr>
            <w:tcW w:type="dxa" w:w="2700"/>
          </w:tcPr>
          <w:p>
            <w:r>
              <w:rPr>
                <w:b w:val="false"/>
                <w:bCs w:val="false"/>
                <w:sz w:val="18"/>
                <w:szCs w:val="18"/>
              </w:rPr>
              <w:t xml:space="preserve">Частково підтверджено рецензованим джерелом: Pezo-Lanfranco et al. (2025) документують підйом Вічами саме на позначці ~1800 до н.е. зі спадкоємною землеробсько-рибальською моделлю. Специфічний механізм «мегазасуха» і сайт Пеніко залишаються на рівні медійних повідомлень, не рецензованих окремо.</w:t>
            </w:r>
          </w:p>
        </w:tc>
      </w:tr>
    </w:tbl>
    <w:p>
      <w:pPr>
        <w:spacing w:after="160"/>
        <w:jc w:val="both"/>
      </w:pPr>
      <w:r>
        <w:rPr>
          <w:b w:val="false"/>
          <w:bCs w:val="false"/>
          <w:i w:val="false"/>
          <w:iCs w:val="false"/>
        </w:rPr>
        <w:t xml:space="preserve">Дані розділу 2.5–2.6 узгоджуються в послідовний сценарій: задокументований цикл катастроф близько 1850 р. до н.е. (Sandweiss et al., 2009) міг стати безпосереднім тригером залишення Караля, після чого населення заснувало новий прибережний центр Вічама, що виник рівно на позначці ~1800 р. до н.е. зі спадкоємною господарською моделлю (Pezo-Lanfranco et al., 2025). У термінах SUBIT це відповідає метастабільному переналаштуванню правила (g-функція), а не chaotic-розпаду: система не втратила інваріантну структуру повністю, а перенесла її в нову локацію. Гіпотеза B (градієнт іригаційної деградації) залишається empірично непідтвердженою й неспростованою через брак прямих порівняльних даних для долини Супе.</w:t>
      </w:r>
    </w:p>
    <w:p>
      <w:pPr>
        <w:pStyle w:val="Heading1"/>
        <w:spacing w:after="160" w:before="320"/>
      </w:pPr>
      <w:r>
        <w:t xml:space="preserve">6. Обговорення</w:t>
      </w:r>
    </w:p>
    <w:p>
      <w:pPr>
        <w:spacing w:after="160"/>
        <w:jc w:val="both"/>
      </w:pPr>
      <w:r>
        <w:rPr>
          <w:b w:val="false"/>
          <w:bCs w:val="false"/>
          <w:i w:val="false"/>
          <w:iCs w:val="false"/>
        </w:rPr>
        <w:t xml:space="preserve">Порівняно із загальним наративним викладом, застосований фрейм дав три конкретні методологічні результати. По-перше, він розклав розмиту категорію «причина занепаду» на окремі механізми з власним стратиграфічним чи ізотопним відбитком. По-друге, він виявив, що масив першоджерельної літератури щодо фази формування є внутрішньо суперечливим (Creamer et al., 2011 проти Coutts et al., 2011), і що навіть найточніше дослідження (Pezo-Lanfranco et al., 2022) описує змінний у часі градієнт, а не перемогу однієї моделі. По-третє, він дав мову для опису занепаду не як бінарного «колапс/не колапс», а як метастабільного переналаштування правила — категорії, яка після залучення рецензованого джерела 2025 р. про Вічаму отримала пряму емпіричну підтримку в частині господарської спадкоємності нового центру.</w:t>
      </w:r>
    </w:p>
    <w:p>
      <w:pPr>
        <w:spacing w:after="160"/>
        <w:jc w:val="both"/>
      </w:pPr>
      <w:r>
        <w:rPr>
          <w:b w:val="false"/>
          <w:bCs w:val="false"/>
          <w:i w:val="false"/>
          <w:iCs w:val="false"/>
        </w:rPr>
        <w:t xml:space="preserve">Слід підкреслити межі підходу. Жодна з оцінок Ω-класу не є обчисленою величиною; це якісні судження дослідника, що спираються на вже наявні дані. Ця робота є вторинним літературним синтезом: жодного нового стратиграфічного, ізотопного чи радіовуглецевого аналізу в її межах не проводилося. Розрізняльний тест B проти C для фази формування (вік найдавніших каналів Супе) залишається відкритою емпіричною лакуною, а не спростованою гіпотезою; так само специфічний механізм «мегазасуха → організована міграція до Пеніко» для фази занепаду підтверджений наразі лише на рівні медійних повідомлень, а не в рецензованому дослідженні, присвяченому власне причинам залишення Караля.</w:t>
      </w:r>
    </w:p>
    <w:p>
      <w:pPr>
        <w:pStyle w:val="Heading1"/>
        <w:spacing w:after="160" w:before="320"/>
      </w:pPr>
      <w:r>
        <w:t xml:space="preserve">7. Висновки</w:t>
      </w:r>
    </w:p>
    <w:p>
      <w:pPr>
        <w:spacing w:after="160"/>
        <w:jc w:val="both"/>
      </w:pPr>
      <w:r>
        <w:rPr>
          <w:b w:val="false"/>
          <w:bCs w:val="false"/>
          <w:i w:val="false"/>
          <w:iCs w:val="false"/>
        </w:rPr>
        <w:t xml:space="preserve">Формування Караль-Супе найточніше описується як асиметричний, змінний у часі господарський градієнт (Pezo-Lanfranco et al., 2022), а не перемога морської чи землеробської підсистеми; чиста гіпотеза морських основ (Moseley, 1975) найслабше підтверджена. Занепад близько 1800 р. до н.е. правдоподібно поєднує задокументований цикл геолого-кліматичних катастроф ≈1850 р. до н.е. (Sandweiss et al., 2009) з подальшим заснуванням нового прибережного центру Вічама зі спадкоємною господарською моделлю (Pezo-Lanfranco et al., 2025) — сценарій, що більше відповідає метастабільному переналаштуванню правила, ніж хаотичному колапсу. Специфічний причинно-наслідковий механізм «мегазасуха» та роль сайту Пеніко потребують окремого рецензованого підтвердження. Евристичний фрейм SUBIT виявився корисним інструментом формулювання розрізняльних тестів і категоризації типів історичного переходу, але не джерелом нових емпіричних тверджень.</w:t>
      </w:r>
    </w:p>
    <w:p>
      <w:pPr>
        <w:pStyle w:val="Heading1"/>
        <w:spacing w:after="160" w:before="320"/>
      </w:pPr>
      <w:r>
        <w:t xml:space="preserve">8. Глосарій термінів SUBIT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8400"/>
      </w:tblGrid>
      <w:tr>
        <w:tc>
          <w:tcPr>
            <w:tcW w:type="dxa" w:w="2600"/>
            <w:shd w:fill="D9D9D9" w:val="clear"/>
          </w:tcPr>
          <w:p>
            <w:r>
              <w:rPr>
                <w:b/>
                <w:bCs/>
                <w:sz w:val="18"/>
                <w:szCs w:val="18"/>
              </w:rPr>
              <w:t xml:space="preserve">Термін</w:t>
            </w:r>
          </w:p>
        </w:tc>
        <w:tc>
          <w:tcPr>
            <w:tcW w:type="dxa" w:w="8400"/>
            <w:shd w:fill="D9D9D9" w:val="clear"/>
          </w:tcPr>
          <w:p>
            <w:r>
              <w:rPr>
                <w:b/>
                <w:bCs/>
                <w:sz w:val="18"/>
                <w:szCs w:val="18"/>
              </w:rPr>
              <w:t xml:space="preserve">Визначення</w:t>
            </w:r>
          </w:p>
        </w:tc>
      </w:tr>
      <w:tr>
        <w:tc>
          <w:tcPr>
            <w:tcW w:type="dxa" w:w="2600"/>
          </w:tcPr>
          <w:p>
            <w:r>
              <w:rPr>
                <w:b w:val="false"/>
                <w:bCs w:val="false"/>
                <w:sz w:val="18"/>
                <w:szCs w:val="18"/>
              </w:rPr>
              <w:t xml:space="preserve">Стан (s)</w:t>
            </w:r>
          </w:p>
        </w:tc>
        <w:tc>
          <w:tcPr>
            <w:tcW w:type="dxa" w:w="8400"/>
          </w:tcPr>
          <w:p>
            <w:r>
              <w:rPr>
                <w:b w:val="false"/>
                <w:bCs w:val="false"/>
                <w:sz w:val="18"/>
                <w:szCs w:val="18"/>
              </w:rPr>
              <w:t xml:space="preserve">Трійка координат WHO-WHERE-WHEN, що описує елементарну одиницю опису системи.</w:t>
            </w:r>
          </w:p>
        </w:tc>
      </w:tr>
      <w:tr>
        <w:tc>
          <w:tcPr>
            <w:tcW w:type="dxa" w:w="2600"/>
          </w:tcPr>
          <w:p>
            <w:r>
              <w:rPr>
                <w:b w:val="false"/>
                <w:bCs w:val="false"/>
                <w:sz w:val="18"/>
                <w:szCs w:val="18"/>
              </w:rPr>
              <w:t xml:space="preserve">Розширений стан (s⁺)</w:t>
            </w:r>
          </w:p>
        </w:tc>
        <w:tc>
          <w:tcPr>
            <w:tcW w:type="dxa" w:w="8400"/>
          </w:tcPr>
          <w:p>
            <w:r>
              <w:rPr>
                <w:b w:val="false"/>
                <w:bCs w:val="false"/>
                <w:sz w:val="18"/>
                <w:szCs w:val="18"/>
              </w:rPr>
              <w:t xml:space="preserve">Пара (стан, правило) = (s, ρ); правило еволюції є частиною стану, а не зовнішнім параметром.</w:t>
            </w:r>
          </w:p>
        </w:tc>
      </w:tr>
      <w:tr>
        <w:tc>
          <w:tcPr>
            <w:tcW w:type="dxa" w:w="2600"/>
          </w:tcPr>
          <w:p>
            <w:r>
              <w:rPr>
                <w:b w:val="false"/>
                <w:bCs w:val="false"/>
                <w:sz w:val="18"/>
                <w:szCs w:val="18"/>
              </w:rPr>
              <w:t xml:space="preserve">Правило еволюції (ρ)</w:t>
            </w:r>
          </w:p>
        </w:tc>
        <w:tc>
          <w:tcPr>
            <w:tcW w:type="dxa" w:w="8400"/>
          </w:tcPr>
          <w:p>
            <w:r>
              <w:rPr>
                <w:b w:val="false"/>
                <w:bCs w:val="false"/>
                <w:sz w:val="18"/>
                <w:szCs w:val="18"/>
              </w:rPr>
              <w:t xml:space="preserve">Функція, що визначає, як стан змінюється на наступному кроці; у цій роботі — конкретний історичний механізм.</w:t>
            </w:r>
          </w:p>
        </w:tc>
      </w:tr>
      <w:tr>
        <w:tc>
          <w:tcPr>
            <w:tcW w:type="dxa" w:w="2600"/>
          </w:tcPr>
          <w:p>
            <w:r>
              <w:rPr>
                <w:b w:val="false"/>
                <w:bCs w:val="false"/>
                <w:sz w:val="18"/>
                <w:szCs w:val="18"/>
              </w:rPr>
              <w:t xml:space="preserve">Оператор еволюції (F)</w:t>
            </w:r>
          </w:p>
        </w:tc>
        <w:tc>
          <w:tcPr>
            <w:tcW w:type="dxa" w:w="8400"/>
          </w:tcPr>
          <w:p>
            <w:r>
              <w:rPr>
                <w:b w:val="false"/>
                <w:bCs w:val="false"/>
                <w:sz w:val="18"/>
                <w:szCs w:val="18"/>
              </w:rPr>
              <w:t xml:space="preserve">F(s, ρ) = (f_ρ(s), g(ρ, s)): одночасно змінює стан і саме правило (метаеволюція).</w:t>
            </w:r>
          </w:p>
        </w:tc>
      </w:tr>
      <w:tr>
        <w:tc>
          <w:tcPr>
            <w:tcW w:type="dxa" w:w="2600"/>
          </w:tcPr>
          <w:p>
            <w:r>
              <w:rPr>
                <w:b w:val="false"/>
                <w:bCs w:val="false"/>
                <w:sz w:val="18"/>
                <w:szCs w:val="18"/>
              </w:rPr>
              <w:t xml:space="preserve">Ω-класифікатор</w:t>
            </w:r>
          </w:p>
        </w:tc>
        <w:tc>
          <w:tcPr>
            <w:tcW w:type="dxa" w:w="8400"/>
          </w:tcPr>
          <w:p>
            <w:r>
              <w:rPr>
                <w:b w:val="false"/>
                <w:bCs w:val="false"/>
                <w:sz w:val="18"/>
                <w:szCs w:val="18"/>
              </w:rPr>
              <w:t xml:space="preserve">Чотиризначна класифікація стабільності множини станів: stable, metastable, cyclic, chaotic.</w:t>
            </w:r>
          </w:p>
        </w:tc>
      </w:tr>
      <w:tr>
        <w:tc>
          <w:tcPr>
            <w:tcW w:type="dxa" w:w="2600"/>
          </w:tcPr>
          <w:p>
            <w:r>
              <w:rPr>
                <w:b w:val="false"/>
                <w:bCs w:val="false"/>
                <w:sz w:val="18"/>
                <w:szCs w:val="18"/>
              </w:rPr>
              <w:t xml:space="preserve">Stable</w:t>
            </w:r>
          </w:p>
        </w:tc>
        <w:tc>
          <w:tcPr>
            <w:tcW w:type="dxa" w:w="8400"/>
          </w:tcPr>
          <w:p>
            <w:r>
              <w:rPr>
                <w:b w:val="false"/>
                <w:bCs w:val="false"/>
                <w:sz w:val="18"/>
                <w:szCs w:val="18"/>
              </w:rPr>
              <w:t xml:space="preserve">F(P) ⊆ P: множина станів відтворює саму себе під дією еволюції.</w:t>
            </w:r>
          </w:p>
        </w:tc>
      </w:tr>
      <w:tr>
        <w:tc>
          <w:tcPr>
            <w:tcW w:type="dxa" w:w="2600"/>
          </w:tcPr>
          <w:p>
            <w:r>
              <w:rPr>
                <w:b w:val="false"/>
                <w:bCs w:val="false"/>
                <w:sz w:val="18"/>
                <w:szCs w:val="18"/>
              </w:rPr>
              <w:t xml:space="preserve">Metastable</w:t>
            </w:r>
          </w:p>
        </w:tc>
        <w:tc>
          <w:tcPr>
            <w:tcW w:type="dxa" w:w="8400"/>
          </w:tcPr>
          <w:p>
            <w:r>
              <w:rPr>
                <w:b w:val="false"/>
                <w:bCs w:val="false"/>
                <w:sz w:val="18"/>
                <w:szCs w:val="18"/>
              </w:rPr>
              <w:t xml:space="preserve">F(P) ⊆ P, але P ⊄ F(P): часткова стабільність; у цій роботі — переналаштування правила з частковим успадкуванням структури (напр., перенесення поселення).</w:t>
            </w:r>
          </w:p>
        </w:tc>
      </w:tr>
      <w:tr>
        <w:tc>
          <w:tcPr>
            <w:tcW w:type="dxa" w:w="2600"/>
          </w:tcPr>
          <w:p>
            <w:r>
              <w:rPr>
                <w:b w:val="false"/>
                <w:bCs w:val="false"/>
                <w:sz w:val="18"/>
                <w:szCs w:val="18"/>
              </w:rPr>
              <w:t xml:space="preserve">Cyclic</w:t>
            </w:r>
          </w:p>
        </w:tc>
        <w:tc>
          <w:tcPr>
            <w:tcW w:type="dxa" w:w="8400"/>
          </w:tcPr>
          <w:p>
            <w:r>
              <w:rPr>
                <w:b w:val="false"/>
                <w:bCs w:val="false"/>
                <w:sz w:val="18"/>
                <w:szCs w:val="18"/>
              </w:rPr>
              <w:t xml:space="preserve">∃k &gt; 0: Fᵏ(P) = P: орбітальне повторення. Важливе уточнення: у цьому дослідженні cyclic не означає сезонність чи календарну періодичність, а реплікацію однієї й тієї ж моделі поселення в просторі (кілька сайтів за одним «рецептом»).</w:t>
            </w:r>
          </w:p>
        </w:tc>
      </w:tr>
      <w:tr>
        <w:tc>
          <w:tcPr>
            <w:tcW w:type="dxa" w:w="2600"/>
          </w:tcPr>
          <w:p>
            <w:r>
              <w:rPr>
                <w:b w:val="false"/>
                <w:bCs w:val="false"/>
                <w:sz w:val="18"/>
                <w:szCs w:val="18"/>
              </w:rPr>
              <w:t xml:space="preserve">Chaotic</w:t>
            </w:r>
          </w:p>
        </w:tc>
        <w:tc>
          <w:tcPr>
            <w:tcW w:type="dxa" w:w="8400"/>
          </w:tcPr>
          <w:p>
            <w:r>
              <w:rPr>
                <w:b w:val="false"/>
                <w:bCs w:val="false"/>
                <w:sz w:val="18"/>
                <w:szCs w:val="18"/>
              </w:rPr>
              <w:t xml:space="preserve">Відсутність стабільної чи циклічної множини; контрастна категорія до «метастабільного переналаштування», не підтверджений опис занепаду Караля.</w:t>
            </w:r>
          </w:p>
        </w:tc>
      </w:tr>
      <w:tr>
        <w:tc>
          <w:tcPr>
            <w:tcW w:type="dxa" w:w="2600"/>
          </w:tcPr>
          <w:p>
            <w:r>
              <w:rPr>
                <w:b w:val="false"/>
                <w:bCs w:val="false"/>
                <w:sz w:val="18"/>
                <w:szCs w:val="18"/>
              </w:rPr>
              <w:t xml:space="preserve">Розрізняльний тест</w:t>
            </w:r>
          </w:p>
        </w:tc>
        <w:tc>
          <w:tcPr>
            <w:tcW w:type="dxa" w:w="8400"/>
          </w:tcPr>
          <w:p>
            <w:r>
              <w:rPr>
                <w:b w:val="false"/>
                <w:bCs w:val="false"/>
                <w:sz w:val="18"/>
                <w:szCs w:val="18"/>
              </w:rPr>
              <w:t xml:space="preserve">Емпіричне спостереження з різними, взаємовиключними передбаченнями для конкуруючих гіпотез — методологічний, доданий у цій роботі елемент, що зв'язує евристику з перевірюваними даними.</w:t>
            </w:r>
          </w:p>
        </w:tc>
      </w:tr>
    </w:tbl>
    <w:p>
      <w:pPr>
        <w:pStyle w:val="Heading1"/>
        <w:spacing w:after="160" w:before="320"/>
      </w:pPr>
      <w:r>
        <w:t xml:space="preserve">Список використаних джерел</w:t>
      </w:r>
    </w:p>
    <w:p>
      <w:pPr>
        <w:spacing w:after="140"/>
        <w:ind w:left="400" w:hanging="400"/>
        <w:jc w:val="both"/>
      </w:pPr>
      <w:r>
        <w:t xml:space="preserve">Coutts, K. H., Chu, A., &amp; Krigbaum, J. (2011). Paleodiet in late Preceramic Peru: Preliminary isotopic data from Bandurria. Journal of Island and Coastal Archaeology, 6(2), 196–210. doi:10.1080/15564894.2011.586086.</w:t>
      </w:r>
    </w:p>
    <w:p>
      <w:pPr>
        <w:spacing w:after="140"/>
        <w:ind w:left="400" w:hanging="400"/>
        <w:jc w:val="both"/>
      </w:pPr>
      <w:r>
        <w:t xml:space="preserve">Creamer, W., Haas, J., Jakaitis III, E., &amp; Holguin, J. (2011). Far from the shore: Comparison of marine invertebrates in midden deposits from two sites in the Norte Chico, Peru. Journal of Island and Coastal Archaeology, 6(2), 176–195. doi:10.1080/15564894.2011.582071.</w:t>
      </w:r>
    </w:p>
    <w:p>
      <w:pPr>
        <w:spacing w:after="140"/>
        <w:ind w:left="400" w:hanging="400"/>
        <w:jc w:val="both"/>
      </w:pPr>
      <w:r>
        <w:t xml:space="preserve">Haas, J., Creamer, W., &amp; Ruiz, A. (2004). Dating the Late Archaic occupation of the Norte Chico region in Peru. Nature, 432, 1020–1023. doi:10.1038/nature03146.</w:t>
      </w:r>
    </w:p>
    <w:p>
      <w:pPr>
        <w:spacing w:after="140"/>
        <w:ind w:left="400" w:hanging="400"/>
        <w:jc w:val="both"/>
      </w:pPr>
      <w:r>
        <w:t xml:space="preserve">Haas, J., &amp; Creamer, W. (2006). Crucible of Andean civilization: The Peruvian coast from 3000 to 1800 BC. Current Anthropology, 47(5), 745–775. doi:10.1086/506281.</w:t>
      </w:r>
    </w:p>
    <w:p>
      <w:pPr>
        <w:spacing w:after="140"/>
        <w:ind w:left="400" w:hanging="400"/>
        <w:jc w:val="both"/>
      </w:pPr>
      <w:r>
        <w:t xml:space="preserve">Haas, J., Creamer, W., Huamán Mesía, L., Goldstein, D. J., Reinhard, K., &amp; Vergel Rodríguez, C. (2013). Evidence for maize (Zea mays) in the Late Archaic (3000–1800 B.C.) in the Norte Chico region of Peru. Proceedings of the National Academy of Sciences, 110(13), 4945–4949. doi:10.1073/pnas.1219425110.</w:t>
      </w:r>
    </w:p>
    <w:p>
      <w:pPr>
        <w:spacing w:after="140"/>
        <w:ind w:left="400" w:hanging="400"/>
        <w:jc w:val="both"/>
      </w:pPr>
      <w:r>
        <w:t xml:space="preserve">Moseley, M. E. (1975). The Maritime Foundations of Andean Civilization. Cummings Publishing Company.</w:t>
      </w:r>
    </w:p>
    <w:p>
      <w:pPr>
        <w:spacing w:after="140"/>
        <w:ind w:left="400" w:hanging="400"/>
        <w:jc w:val="both"/>
      </w:pPr>
      <w:r>
        <w:t xml:space="preserve">Pezo-Lanfranco, L., Machacuay, M., Novoa, P., Peralta, R., Mayer, E., Eggers, S., &amp; Shady, R. (2022). The diet at the onset of the Andean Civilization: New stable isotope data from Caral and Áspero, North-Central Coast of Peru. American Journal of Biological Anthropology (раніше American Journal of Physical Anthropology), 177(3), 402–424. doi:10.1002/ajpa.24445.</w:t>
      </w:r>
    </w:p>
    <w:p>
      <w:pPr>
        <w:spacing w:after="140"/>
        <w:ind w:left="400" w:hanging="400"/>
        <w:jc w:val="both"/>
      </w:pPr>
      <w:r>
        <w:t xml:space="preserve">Pezo-Lanfranco, L., Crispin, A., Prado-Barragán, A., Abad, T., Machacuay, M., Yseki, M., Gorriti, M., Miranda, L., Apolín, J., DiMuro, A., Novoa, P., Colonese, A. C., &amp; Shady, R. (2025). Refining dietary shifts linked to climate oscillations in the Central Andes: stable isotope evidence from Vichama (1800–1500 BCE). Frontiers in Environmental Archaeology, 4, 1611071. doi:10.3389/fearc.2025.1611071.</w:t>
      </w:r>
    </w:p>
    <w:p>
      <w:pPr>
        <w:spacing w:after="140"/>
        <w:ind w:left="400" w:hanging="400"/>
        <w:jc w:val="both"/>
      </w:pPr>
      <w:r>
        <w:t xml:space="preserve">Sandweiss, D. H., Solís, R. S., Moseley, M. E., Keefer, D. K., &amp; Ortloff, C. R. (2009). Environmental change and economic development in coastal Peru between 5,800 and 3,600 years ago. Proceedings of the National Academy of Sciences, 106(5), 1359–1363. doi:10.1073/pnas.0812645106.</w:t>
      </w:r>
    </w:p>
    <w:p>
      <w:pPr>
        <w:spacing w:after="140"/>
        <w:ind w:left="400" w:hanging="400"/>
        <w:jc w:val="both"/>
      </w:pPr>
      <w:r>
        <w:t xml:space="preserve">Shady Solís, R., Haas, J., &amp; Creamer, W. (2001). Dating Caral, a Preceramic site in the Supe Valley on the central coast of Peru. Science, 292, 723–726. doi:10.1126/science.1059519.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2026-07-29T22:32:06.704Z</dcterms:created>
  <dcterms:modified xsi:type="dcterms:W3CDTF">2026-07-29T22:32:06.725Z</dcterms:modified>
</cp:coreProperties>
</file>

<file path=docProps/custom.xml><?xml version="1.0" encoding="utf-8"?>
<Properties xmlns="http://schemas.openxmlformats.org/officeDocument/2006/custom-properties" xmlns:vt="http://schemas.openxmlformats.org/officeDocument/2006/docPropsVTypes"/>
</file>