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</w:pPr>
    </w:p>
    <w:p>
      <w:pPr>
        <w:jc w:val="center"/>
      </w:pPr>
      <w:r>
        <w:rPr>
          <w:rFonts w:ascii="Aptos Display" w:hAnsi="Aptos Display"/>
          <w:b/>
          <w:color w:val="2563EB"/>
          <w:sz w:val="28"/>
        </w:rPr>
        <w:t>SCIM-INVENTORY</w:t>
      </w:r>
    </w:p>
    <w:p>
      <w:pPr>
        <w:pStyle w:val="Title"/>
        <w:jc w:val="center"/>
      </w:pPr>
      <w:r>
        <w:t>Workflow &amp; Process Guide</w:t>
      </w:r>
    </w:p>
    <w:p>
      <w:pPr>
        <w:pStyle w:val="Subtitle"/>
        <w:jc w:val="center"/>
      </w:pPr>
      <w:r>
        <w:t>Inventory, Procurement, Warehouse, Vendor, Logistics, and Recruitment Operations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</w:tblGrid>
      <w:tr>
        <w:tc>
          <w:tcPr>
            <w:tcW w:type="dxa" w:w="10166"/>
            <w:shd w:fill="EAF2FF"/>
            <w:tcBorders>
              <w:top w:val="single" w:sz="10" w:color="B8D1FA"/>
              <w:left w:val="single" w:sz="10" w:color="B8D1FA"/>
              <w:bottom w:val="single" w:sz="10" w:color="B8D1FA"/>
              <w:right w:val="single" w:sz="10" w:color="B8D1FA"/>
              <w:insideH w:val="single" w:sz="10" w:color="B8D1FA"/>
              <w:insideV w:val="single" w:sz="10" w:color="B8D1FA"/>
            </w:tcBorders>
          </w:tcPr>
          <w:p>
            <w:pPr>
              <w:spacing w:before="360" w:after="360"/>
              <w:jc w:val="center"/>
            </w:pPr>
            <w:r>
              <w:rPr>
                <w:color w:val="123A72"/>
                <w:sz w:val="24"/>
              </w:rPr>
              <w:t>A practical operating model for administrators, procurement teams, warehouse teams, vendors, recruiters, and auditors.</w:t>
            </w:r>
          </w:p>
        </w:tc>
      </w:tr>
    </w:tbl>
    <w:p>
      <w:pPr>
        <w:spacing w:before="1600"/>
        <w:jc w:val="center"/>
      </w:pPr>
      <w:r>
        <w:rPr>
          <w:color w:val="64748B"/>
          <w:sz w:val="20"/>
        </w:rPr>
        <w:t>Version 1.0  |  September 20, 2026</w:t>
        <w:br/>
        <w:t>Prepared from the implemented application architecture</w:t>
      </w:r>
    </w:p>
    <w:p>
      <w:r>
        <w:br w:type="page"/>
      </w:r>
    </w:p>
    <w:p>
      <w:pPr>
        <w:pStyle w:val="Heading1"/>
      </w:pPr>
      <w:r>
        <w:t>How to use this guide</w:t>
      </w:r>
    </w:p>
    <w:p>
      <w:r>
        <w:t>This document describes the operating workflows implemented in SCIM-Inventory. It is intended for process walkthroughs, user onboarding, project defense, testing, and future implementation planning.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  <w:insideH w:val="single" w:sz="10" w:color="2563EB"/>
              <w:insideV w:val="single" w:sz="10" w:color="2563EB"/>
            </w:tcBorders>
          </w:tcPr>
          <w:p>
            <w:pPr>
              <w:spacing w:before="120" w:after="120"/>
            </w:pPr>
            <w:r>
              <w:rPr>
                <w:b/>
                <w:color w:val="2563EB"/>
              </w:rPr>
              <w:t>Core control principle</w:t>
              <w:br/>
            </w:r>
            <w:r>
              <w:rPr>
                <w:color w:val="10233F"/>
              </w:rPr>
              <w:t>Inventory quantities are changed through controlled stock movements—not by directly editing a balance. Every tenant-scoped operation is protected by membership, role checks, row-level security, and audit history.</w:t>
            </w:r>
          </w:p>
        </w:tc>
      </w:tr>
    </w:tbl>
    <w:p>
      <w:pPr>
        <w:pStyle w:val="Heading2"/>
      </w:pPr>
      <w:r>
        <w:t>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0B1F3A"/>
            <w:tcBorders>
              <w:top w:val="single" w:sz="6" w:color="0B1F3A"/>
              <w:left w:val="single" w:sz="6" w:color="0B1F3A"/>
              <w:bottom w:val="single" w:sz="6" w:color="0B1F3A"/>
              <w:right w:val="single" w:sz="6" w:color="0B1F3A"/>
              <w:insideH w:val="single" w:sz="6" w:color="0B1F3A"/>
              <w:insideV w:val="single" w:sz="6" w:color="0B1F3A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6768"/>
            <w:shd w:fill="0B1F3A"/>
            <w:tcBorders>
              <w:top w:val="single" w:sz="6" w:color="0B1F3A"/>
              <w:left w:val="single" w:sz="6" w:color="0B1F3A"/>
              <w:bottom w:val="single" w:sz="6" w:color="0B1F3A"/>
              <w:right w:val="single" w:sz="6" w:color="0B1F3A"/>
              <w:insideH w:val="single" w:sz="6" w:color="0B1F3A"/>
              <w:insideV w:val="single" w:sz="6" w:color="0B1F3A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880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1. Operating model</w:t>
            </w:r>
          </w:p>
        </w:tc>
        <w:tc>
          <w:tcPr>
            <w:tcW w:type="dxa" w:w="6768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Actors, modules, ownership, and system boundaries</w:t>
            </w:r>
          </w:p>
        </w:tc>
      </w:tr>
      <w:tr>
        <w:tc>
          <w:tcPr>
            <w:tcW w:type="dxa" w:w="2880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2. Inventory and warehouse</w:t>
            </w:r>
          </w:p>
        </w:tc>
        <w:tc>
          <w:tcPr>
            <w:tcW w:type="dxa" w:w="6768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Products, locations, balances, movements, transfers, and tasks</w:t>
            </w:r>
          </w:p>
        </w:tc>
      </w:tr>
      <w:tr>
        <w:tc>
          <w:tcPr>
            <w:tcW w:type="dxa" w:w="2880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3. Procurement</w:t>
            </w:r>
          </w:p>
        </w:tc>
        <w:tc>
          <w:tcPr>
            <w:tcW w:type="dxa" w:w="6768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Requisition through purchase order and receiving</w:t>
            </w:r>
          </w:p>
        </w:tc>
      </w:tr>
      <w:tr>
        <w:tc>
          <w:tcPr>
            <w:tcW w:type="dxa" w:w="2880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4. Vendor lifecycle</w:t>
            </w:r>
          </w:p>
        </w:tc>
        <w:tc>
          <w:tcPr>
            <w:tcW w:type="dxa" w:w="6768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Onboarding, portal access, collaboration, shipment, invoice, and performance</w:t>
            </w:r>
          </w:p>
        </w:tc>
      </w:tr>
      <w:tr>
        <w:tc>
          <w:tcPr>
            <w:tcW w:type="dxa" w:w="2880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5. Recruitment and AI</w:t>
            </w:r>
          </w:p>
        </w:tc>
        <w:tc>
          <w:tcPr>
            <w:tcW w:type="dxa" w:w="6768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Public application, controlled stages, explainable ranking, and human review</w:t>
            </w:r>
          </w:p>
        </w:tc>
      </w:tr>
      <w:tr>
        <w:tc>
          <w:tcPr>
            <w:tcW w:type="dxa" w:w="2880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6. Notifications and communication</w:t>
            </w:r>
          </w:p>
        </w:tc>
        <w:tc>
          <w:tcPr>
            <w:tcW w:type="dxa" w:w="6768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In-app events, email notifications, and transaction messages</w:t>
            </w:r>
          </w:p>
        </w:tc>
      </w:tr>
      <w:tr>
        <w:tc>
          <w:tcPr>
            <w:tcW w:type="dxa" w:w="2880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7. Security and governance</w:t>
            </w:r>
          </w:p>
        </w:tc>
        <w:tc>
          <w:tcPr>
            <w:tcW w:type="dxa" w:w="6768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RBAC, MFA, tenant isolation, audit, documents, and reset controls</w:t>
            </w:r>
          </w:p>
        </w:tc>
      </w:tr>
      <w:tr>
        <w:tc>
          <w:tcPr>
            <w:tcW w:type="dxa" w:w="2880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8. Status and responsibility reference</w:t>
            </w:r>
          </w:p>
        </w:tc>
        <w:tc>
          <w:tcPr>
            <w:tcW w:type="dxa" w:w="6768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Operational status meanings and role ownership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7340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34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7"/>
        </w:rPr>
        <w:t>Master workflow from demand signal to inventory and financial closure.</w:t>
      </w:r>
    </w:p>
    <w:p>
      <w:pPr>
        <w:pStyle w:val="Heading1"/>
      </w:pPr>
      <w:r>
        <w:t>1. Operating model</w:t>
      </w:r>
    </w:p>
    <w:p>
      <w:r>
        <w:t>SCIM-Inventory is a multi-tenant operations platform. Each organization owns its products, warehouses, procurement records, vendors, recruitment records, documents, notifications, and audit trail. Users gain access through organization membership; vendor personnel use a separately scoped portal.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88"/>
            <w:shd w:fill="0B1F3A"/>
            <w:tcBorders>
              <w:top w:val="single" w:sz="6" w:color="0B1F3A"/>
              <w:left w:val="single" w:sz="6" w:color="0B1F3A"/>
              <w:bottom w:val="single" w:sz="6" w:color="0B1F3A"/>
              <w:right w:val="single" w:sz="6" w:color="0B1F3A"/>
              <w:insideH w:val="single" w:sz="6" w:color="0B1F3A"/>
              <w:insideV w:val="single" w:sz="6" w:color="0B1F3A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4032"/>
            <w:shd w:fill="0B1F3A"/>
            <w:tcBorders>
              <w:top w:val="single" w:sz="6" w:color="0B1F3A"/>
              <w:left w:val="single" w:sz="6" w:color="0B1F3A"/>
              <w:bottom w:val="single" w:sz="6" w:color="0B1F3A"/>
              <w:right w:val="single" w:sz="6" w:color="0B1F3A"/>
              <w:insideH w:val="single" w:sz="6" w:color="0B1F3A"/>
              <w:insideV w:val="single" w:sz="6" w:color="0B1F3A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Primary responsibility</w:t>
            </w:r>
          </w:p>
        </w:tc>
        <w:tc>
          <w:tcPr>
            <w:tcW w:type="dxa" w:w="3528"/>
            <w:shd w:fill="0B1F3A"/>
            <w:tcBorders>
              <w:top w:val="single" w:sz="6" w:color="0B1F3A"/>
              <w:left w:val="single" w:sz="6" w:color="0B1F3A"/>
              <w:bottom w:val="single" w:sz="6" w:color="0B1F3A"/>
              <w:right w:val="single" w:sz="6" w:color="0B1F3A"/>
              <w:insideH w:val="single" w:sz="6" w:color="0B1F3A"/>
              <w:insideV w:val="single" w:sz="6" w:color="0B1F3A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Typical access</w:t>
            </w:r>
          </w:p>
        </w:tc>
      </w:tr>
      <w:tr>
        <w:tc>
          <w:tcPr>
            <w:tcW w:type="dxa" w:w="2088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Owner</w:t>
            </w:r>
          </w:p>
        </w:tc>
        <w:tc>
          <w:tcPr>
            <w:tcW w:type="dxa" w:w="4032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Organization governance and final control</w:t>
            </w:r>
          </w:p>
        </w:tc>
        <w:tc>
          <w:tcPr>
            <w:tcW w:type="dxa" w:w="3528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All modules, membership, reset, audit</w:t>
            </w:r>
          </w:p>
        </w:tc>
      </w:tr>
      <w:tr>
        <w:tc>
          <w:tcPr>
            <w:tcW w:type="dxa" w:w="2088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Administrator</w:t>
            </w:r>
          </w:p>
        </w:tc>
        <w:tc>
          <w:tcPr>
            <w:tcW w:type="dxa" w:w="4032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Cross-functional operational administration</w:t>
            </w:r>
          </w:p>
        </w:tc>
        <w:tc>
          <w:tcPr>
            <w:tcW w:type="dxa" w:w="3528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Operations, vendors, recruitment; no ownership transfer</w:t>
            </w:r>
          </w:p>
        </w:tc>
      </w:tr>
      <w:tr>
        <w:tc>
          <w:tcPr>
            <w:tcW w:type="dxa" w:w="2088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Procurement manager / Buyer</w:t>
            </w:r>
          </w:p>
        </w:tc>
        <w:tc>
          <w:tcPr>
            <w:tcW w:type="dxa" w:w="4032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Sourcing, supplier, and purchase records</w:t>
            </w:r>
          </w:p>
        </w:tc>
        <w:tc>
          <w:tcPr>
            <w:tcW w:type="dxa" w:w="3528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Products, vendors, requisitions, RFQs, quotations, POs</w:t>
            </w:r>
          </w:p>
        </w:tc>
      </w:tr>
      <w:tr>
        <w:tc>
          <w:tcPr>
            <w:tcW w:type="dxa" w:w="2088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Warehouse manager / Operator</w:t>
            </w:r>
          </w:p>
        </w:tc>
        <w:tc>
          <w:tcPr>
            <w:tcW w:type="dxa" w:w="4032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Physical stock execution</w:t>
            </w:r>
          </w:p>
        </w:tc>
        <w:tc>
          <w:tcPr>
            <w:tcW w:type="dxa" w:w="3528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Locations, movements, receiving, putaway, picking, counts</w:t>
            </w:r>
          </w:p>
        </w:tc>
      </w:tr>
      <w:tr>
        <w:tc>
          <w:tcPr>
            <w:tcW w:type="dxa" w:w="2088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HR manager / Recruiter</w:t>
            </w:r>
          </w:p>
        </w:tc>
        <w:tc>
          <w:tcPr>
            <w:tcW w:type="dxa" w:w="4032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Hiring workflow and screening review</w:t>
            </w:r>
          </w:p>
        </w:tc>
        <w:tc>
          <w:tcPr>
            <w:tcW w:type="dxa" w:w="3528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Jobs, applicants, pipeline, AI screening</w:t>
            </w:r>
          </w:p>
        </w:tc>
      </w:tr>
      <w:tr>
        <w:tc>
          <w:tcPr>
            <w:tcW w:type="dxa" w:w="2088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Vendor user</w:t>
            </w:r>
          </w:p>
        </w:tc>
        <w:tc>
          <w:tcPr>
            <w:tcW w:type="dxa" w:w="4032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Supplier-side transaction collaboration</w:t>
            </w:r>
          </w:p>
        </w:tc>
        <w:tc>
          <w:tcPr>
            <w:tcW w:type="dxa" w:w="3528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Vendor-scoped orders, shipments, invoices, documents, messages</w:t>
            </w:r>
          </w:p>
        </w:tc>
      </w:tr>
      <w:tr>
        <w:tc>
          <w:tcPr>
            <w:tcW w:type="dxa" w:w="2088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Viewer</w:t>
            </w:r>
          </w:p>
        </w:tc>
        <w:tc>
          <w:tcPr>
            <w:tcW w:type="dxa" w:w="4032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Read-only operational visibility</w:t>
            </w:r>
          </w:p>
        </w:tc>
        <w:tc>
          <w:tcPr>
            <w:tcW w:type="dxa" w:w="3528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Permitted supply-chain records without mutation rights</w:t>
            </w:r>
          </w:p>
        </w:tc>
      </w:tr>
    </w:tbl>
    <w:p>
      <w:pPr>
        <w:spacing w:after="20"/>
      </w:pPr>
    </w:p>
    <w:p>
      <w:pPr>
        <w:pStyle w:val="Heading2"/>
      </w:pPr>
      <w:r>
        <w:t>System navigation</w:t>
      </w:r>
    </w:p>
    <w:p>
      <w:pPr>
        <w:pStyle w:val="ListBullet"/>
        <w:spacing w:after="60"/>
      </w:pPr>
      <w:r>
        <w:t>Overview provides real-time KPIs, service level, attention items, inbound orders, and recent movements.</w:t>
      </w:r>
    </w:p>
    <w:p>
      <w:pPr>
        <w:pStyle w:val="ListBullet"/>
        <w:spacing w:after="60"/>
      </w:pPr>
      <w:r>
        <w:t>Inventory owns product master data, location-aware stock, immutable movements, transfers, and cycle counts.</w:t>
      </w:r>
    </w:p>
    <w:p>
      <w:pPr>
        <w:pStyle w:val="ListBullet"/>
        <w:spacing w:after="60"/>
      </w:pPr>
      <w:r>
        <w:t>Warehouse owns receiving, putaway, picking, and physical location definitions.</w:t>
      </w:r>
    </w:p>
    <w:p>
      <w:pPr>
        <w:pStyle w:val="ListBullet"/>
        <w:spacing w:after="60"/>
      </w:pPr>
      <w:r>
        <w:t>Procurement owns requisitions, RFQs, quotations, and purchase orders.</w:t>
      </w:r>
    </w:p>
    <w:p>
      <w:pPr>
        <w:pStyle w:val="ListBullet"/>
        <w:spacing w:after="60"/>
      </w:pPr>
      <w:r>
        <w:t>Vendors provides onboarding, portal users, transactions, performance, documents, and conversation history.</w:t>
      </w:r>
    </w:p>
    <w:p>
      <w:pPr>
        <w:pStyle w:val="ListBullet"/>
        <w:spacing w:after="60"/>
      </w:pPr>
      <w:r>
        <w:t>Recruitment manages job openings, public applications, the hiring pipeline, and assisted ranking.</w:t>
      </w:r>
    </w:p>
    <w:p>
      <w:pPr>
        <w:pStyle w:val="ListBullet"/>
        <w:spacing w:after="60"/>
      </w:pPr>
      <w:r>
        <w:t>Administration manages users, roles, warehouses, assignments, audit history, and controlled workspace reset.</w:t>
      </w:r>
    </w:p>
    <w:p>
      <w:r>
        <w:br w:type="page"/>
      </w:r>
    </w:p>
    <w:p>
      <w:pPr>
        <w:pStyle w:val="Heading1"/>
      </w:pPr>
      <w:r>
        <w:t>2. Inventory and warehouse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6278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nt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27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7"/>
        </w:rPr>
        <w:t>A quantity is always posted through a controlled movement and tied to a warehouse location.</w:t>
      </w:r>
    </w:p>
    <w:p>
      <w:pPr>
        <w:pStyle w:val="Heading2"/>
      </w:pPr>
      <w:r>
        <w:t>Inventory rules</w:t>
      </w:r>
    </w:p>
    <w:p>
      <w:pPr>
        <w:pStyle w:val="ListNumber"/>
        <w:spacing w:after="80"/>
      </w:pPr>
      <w:r>
        <w:t>Create the product master with its automatically generated SKU, category, unit of measure, and reorder point.</w:t>
      </w:r>
    </w:p>
    <w:p>
      <w:pPr>
        <w:pStyle w:val="ListNumber"/>
        <w:spacing w:after="80"/>
      </w:pPr>
      <w:r>
        <w:t>Create a warehouse and one or more active physical locations such as receiving, storage, picking, staging, or quarantine.</w:t>
      </w:r>
    </w:p>
    <w:p>
      <w:pPr>
        <w:pStyle w:val="ListNumber"/>
        <w:spacing w:after="80"/>
      </w:pPr>
      <w:r>
        <w:t>Post a movement by selecting the warehouse, location, product, movement type, quantity, and notes.</w:t>
      </w:r>
    </w:p>
    <w:p>
      <w:pPr>
        <w:pStyle w:val="ListNumber"/>
        <w:spacing w:after="80"/>
      </w:pPr>
      <w:r>
        <w:t>The server validates permissions and confirms that the product, warehouse, and location are active and belong to the organization.</w:t>
      </w:r>
    </w:p>
    <w:p>
      <w:pPr>
        <w:pStyle w:val="ListNumber"/>
        <w:spacing w:after="80"/>
      </w:pPr>
      <w:r>
        <w:t>A receipt or transfer-in increases stock; an issue or transfer-out decreases stock; an adjustment applies the signed quantity.</w:t>
      </w:r>
    </w:p>
    <w:p>
      <w:pPr>
        <w:pStyle w:val="ListNumber"/>
        <w:spacing w:after="80"/>
      </w:pPr>
      <w:r>
        <w:t>The database prevents a transaction that would make location stock negative.</w:t>
      </w:r>
    </w:p>
    <w:p>
      <w:pPr>
        <w:pStyle w:val="ListNumber"/>
        <w:spacing w:after="80"/>
      </w:pPr>
      <w:r>
        <w:t>The immutable movement is appended and the balance projection is updated in the same transaction.</w:t>
      </w:r>
    </w:p>
    <w:p>
      <w:pPr>
        <w:pStyle w:val="ListNumber"/>
        <w:spacing w:after="80"/>
      </w:pPr>
      <w:r>
        <w:t>Realtime refresh updates the Overview, Stock, Movement, and Location screens.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8"/>
            <w:tcBorders>
              <w:top w:val="single" w:sz="10" w:color="D97706"/>
              <w:left w:val="single" w:sz="10" w:color="D97706"/>
              <w:bottom w:val="single" w:sz="10" w:color="D97706"/>
              <w:right w:val="single" w:sz="10" w:color="D97706"/>
              <w:insideH w:val="single" w:sz="10" w:color="D97706"/>
              <w:insideV w:val="single" w:sz="10" w:color="D97706"/>
            </w:tcBorders>
          </w:tcPr>
          <w:p>
            <w:pPr>
              <w:spacing w:before="120" w:after="120"/>
            </w:pPr>
            <w:r>
              <w:rPr>
                <w:b/>
                <w:color w:val="D97706"/>
              </w:rPr>
              <w:t>Existing stock migration rule</w:t>
              <w:br/>
            </w:r>
            <w:r>
              <w:rPr>
                <w:color w:val="10233F"/>
              </w:rPr>
              <w:t>When location inventory is enabled, stock is automatically assigned only if a warehouse has exactly one active location. If multiple locations exist, historical stock remains labeled Unallocated until staff post a controlled location movement.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160"/>
            <w:shd w:fill="0B1F3A"/>
            <w:tcBorders>
              <w:top w:val="single" w:sz="6" w:color="0B1F3A"/>
              <w:left w:val="single" w:sz="6" w:color="0B1F3A"/>
              <w:bottom w:val="single" w:sz="6" w:color="0B1F3A"/>
              <w:right w:val="single" w:sz="6" w:color="0B1F3A"/>
              <w:insideH w:val="single" w:sz="6" w:color="0B1F3A"/>
              <w:insideV w:val="single" w:sz="6" w:color="0B1F3A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Movement</w:t>
            </w:r>
          </w:p>
        </w:tc>
        <w:tc>
          <w:tcPr>
            <w:tcW w:type="dxa" w:w="2592"/>
            <w:shd w:fill="0B1F3A"/>
            <w:tcBorders>
              <w:top w:val="single" w:sz="6" w:color="0B1F3A"/>
              <w:left w:val="single" w:sz="6" w:color="0B1F3A"/>
              <w:bottom w:val="single" w:sz="6" w:color="0B1F3A"/>
              <w:right w:val="single" w:sz="6" w:color="0B1F3A"/>
              <w:insideH w:val="single" w:sz="6" w:color="0B1F3A"/>
              <w:insideV w:val="single" w:sz="6" w:color="0B1F3A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Balance effect</w:t>
            </w:r>
          </w:p>
        </w:tc>
        <w:tc>
          <w:tcPr>
            <w:tcW w:type="dxa" w:w="4896"/>
            <w:shd w:fill="0B1F3A"/>
            <w:tcBorders>
              <w:top w:val="single" w:sz="6" w:color="0B1F3A"/>
              <w:left w:val="single" w:sz="6" w:color="0B1F3A"/>
              <w:bottom w:val="single" w:sz="6" w:color="0B1F3A"/>
              <w:right w:val="single" w:sz="6" w:color="0B1F3A"/>
              <w:insideH w:val="single" w:sz="6" w:color="0B1F3A"/>
              <w:insideV w:val="single" w:sz="6" w:color="0B1F3A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Common use</w:t>
            </w:r>
          </w:p>
        </w:tc>
      </w:tr>
      <w:tr>
        <w:tc>
          <w:tcPr>
            <w:tcW w:type="dxa" w:w="2160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Receipt</w:t>
            </w:r>
          </w:p>
        </w:tc>
        <w:tc>
          <w:tcPr>
            <w:tcW w:type="dxa" w:w="2592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+ absolute quantity</w:t>
            </w:r>
          </w:p>
        </w:tc>
        <w:tc>
          <w:tcPr>
            <w:tcW w:type="dxa" w:w="4896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Purchased or returned goods received</w:t>
            </w:r>
          </w:p>
        </w:tc>
      </w:tr>
      <w:tr>
        <w:tc>
          <w:tcPr>
            <w:tcW w:type="dxa" w:w="2160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Issue</w:t>
            </w:r>
          </w:p>
        </w:tc>
        <w:tc>
          <w:tcPr>
            <w:tcW w:type="dxa" w:w="2592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- absolute quantity</w:t>
            </w:r>
          </w:p>
        </w:tc>
        <w:tc>
          <w:tcPr>
            <w:tcW w:type="dxa" w:w="4896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Consumption, outbound fulfillment, or disposal</w:t>
            </w:r>
          </w:p>
        </w:tc>
      </w:tr>
      <w:tr>
        <w:tc>
          <w:tcPr>
            <w:tcW w:type="dxa" w:w="2160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Adjustment</w:t>
            </w:r>
          </w:p>
        </w:tc>
        <w:tc>
          <w:tcPr>
            <w:tcW w:type="dxa" w:w="2592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+/- entered quantity</w:t>
            </w:r>
          </w:p>
        </w:tc>
        <w:tc>
          <w:tcPr>
            <w:tcW w:type="dxa" w:w="4896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Approved correction following verification</w:t>
            </w:r>
          </w:p>
        </w:tc>
      </w:tr>
      <w:tr>
        <w:tc>
          <w:tcPr>
            <w:tcW w:type="dxa" w:w="2160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Transfer out</w:t>
            </w:r>
          </w:p>
        </w:tc>
        <w:tc>
          <w:tcPr>
            <w:tcW w:type="dxa" w:w="2592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- absolute quantity</w:t>
            </w:r>
          </w:p>
        </w:tc>
        <w:tc>
          <w:tcPr>
            <w:tcW w:type="dxa" w:w="4896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Dispatch from source location</w:t>
            </w:r>
          </w:p>
        </w:tc>
      </w:tr>
      <w:tr>
        <w:tc>
          <w:tcPr>
            <w:tcW w:type="dxa" w:w="2160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Transfer in</w:t>
            </w:r>
          </w:p>
        </w:tc>
        <w:tc>
          <w:tcPr>
            <w:tcW w:type="dxa" w:w="2592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+ absolute quantity</w:t>
            </w:r>
          </w:p>
        </w:tc>
        <w:tc>
          <w:tcPr>
            <w:tcW w:type="dxa" w:w="4896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Receipt into destination location</w:t>
            </w:r>
          </w:p>
        </w:tc>
      </w:tr>
    </w:tbl>
    <w:p>
      <w:pPr>
        <w:spacing w:after="20"/>
      </w:pPr>
    </w:p>
    <w:p>
      <w:pPr>
        <w:pStyle w:val="Heading2"/>
      </w:pPr>
      <w:r>
        <w:t>Warehouse execution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00"/>
            <w:shd w:fill="0B1F3A"/>
            <w:tcBorders>
              <w:top w:val="single" w:sz="6" w:color="0B1F3A"/>
              <w:left w:val="single" w:sz="6" w:color="0B1F3A"/>
              <w:bottom w:val="single" w:sz="6" w:color="0B1F3A"/>
              <w:right w:val="single" w:sz="6" w:color="0B1F3A"/>
              <w:insideH w:val="single" w:sz="6" w:color="0B1F3A"/>
              <w:insideV w:val="single" w:sz="6" w:color="0B1F3A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Workflow</w:t>
            </w:r>
          </w:p>
        </w:tc>
        <w:tc>
          <w:tcPr>
            <w:tcW w:type="dxa" w:w="3672"/>
            <w:shd w:fill="0B1F3A"/>
            <w:tcBorders>
              <w:top w:val="single" w:sz="6" w:color="0B1F3A"/>
              <w:left w:val="single" w:sz="6" w:color="0B1F3A"/>
              <w:bottom w:val="single" w:sz="6" w:color="0B1F3A"/>
              <w:right w:val="single" w:sz="6" w:color="0B1F3A"/>
              <w:insideH w:val="single" w:sz="6" w:color="0B1F3A"/>
              <w:insideV w:val="single" w:sz="6" w:color="0B1F3A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Typical statuses</w:t>
            </w:r>
          </w:p>
        </w:tc>
        <w:tc>
          <w:tcPr>
            <w:tcW w:type="dxa" w:w="4176"/>
            <w:shd w:fill="0B1F3A"/>
            <w:tcBorders>
              <w:top w:val="single" w:sz="6" w:color="0B1F3A"/>
              <w:left w:val="single" w:sz="6" w:color="0B1F3A"/>
              <w:bottom w:val="single" w:sz="6" w:color="0B1F3A"/>
              <w:right w:val="single" w:sz="6" w:color="0B1F3A"/>
              <w:insideH w:val="single" w:sz="6" w:color="0B1F3A"/>
              <w:insideV w:val="single" w:sz="6" w:color="0B1F3A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Completion evidence</w:t>
            </w:r>
          </w:p>
        </w:tc>
      </w:tr>
      <w:tr>
        <w:tc>
          <w:tcPr>
            <w:tcW w:type="dxa" w:w="1800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Receiving</w:t>
            </w:r>
          </w:p>
        </w:tc>
        <w:tc>
          <w:tcPr>
            <w:tcW w:type="dxa" w:w="3672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Open → Assigned → In progress → Completed</w:t>
            </w:r>
          </w:p>
        </w:tc>
        <w:tc>
          <w:tcPr>
            <w:tcW w:type="dxa" w:w="4176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Received quantity, inspection, reference, date</w:t>
            </w:r>
          </w:p>
        </w:tc>
      </w:tr>
      <w:tr>
        <w:tc>
          <w:tcPr>
            <w:tcW w:type="dxa" w:w="1800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Putaway</w:t>
            </w:r>
          </w:p>
        </w:tc>
        <w:tc>
          <w:tcPr>
            <w:tcW w:type="dxa" w:w="3672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Open → Assigned → In progress → Completed</w:t>
            </w:r>
          </w:p>
        </w:tc>
        <w:tc>
          <w:tcPr>
            <w:tcW w:type="dxa" w:w="4176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Destination location and confirmed quantity</w:t>
            </w:r>
          </w:p>
        </w:tc>
      </w:tr>
      <w:tr>
        <w:tc>
          <w:tcPr>
            <w:tcW w:type="dxa" w:w="1800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Picking</w:t>
            </w:r>
          </w:p>
        </w:tc>
        <w:tc>
          <w:tcPr>
            <w:tcW w:type="dxa" w:w="3672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Open → Assigned → In progress → Completed</w:t>
            </w:r>
          </w:p>
        </w:tc>
        <w:tc>
          <w:tcPr>
            <w:tcW w:type="dxa" w:w="4176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Picked quantity and outbound context</w:t>
            </w:r>
          </w:p>
        </w:tc>
      </w:tr>
      <w:tr>
        <w:tc>
          <w:tcPr>
            <w:tcW w:type="dxa" w:w="1800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Cycle count</w:t>
            </w:r>
          </w:p>
        </w:tc>
        <w:tc>
          <w:tcPr>
            <w:tcW w:type="dxa" w:w="3672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Draft → Submitted → In progress → Completed</w:t>
            </w:r>
          </w:p>
        </w:tc>
        <w:tc>
          <w:tcPr>
            <w:tcW w:type="dxa" w:w="4176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Expected count, result, and approved variance</w:t>
            </w:r>
          </w:p>
        </w:tc>
      </w:tr>
      <w:tr>
        <w:tc>
          <w:tcPr>
            <w:tcW w:type="dxa" w:w="1800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Transfer</w:t>
            </w:r>
          </w:p>
        </w:tc>
        <w:tc>
          <w:tcPr>
            <w:tcW w:type="dxa" w:w="3672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Draft → Submitted → In progress → Completed</w:t>
            </w:r>
          </w:p>
        </w:tc>
        <w:tc>
          <w:tcPr>
            <w:tcW w:type="dxa" w:w="4176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Source, destination, quantity, and paired movements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Procurement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6278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ure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27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7"/>
        </w:rPr>
        <w:t>Procurement records retain references, organization scope, status, value, supplier, warehouse, due date, and audit history.</w:t>
      </w:r>
    </w:p>
    <w:p>
      <w:pPr>
        <w:pStyle w:val="ListNumber"/>
        <w:spacing w:after="80"/>
      </w:pPr>
      <w:r>
        <w:t>A user creates a requisition manually or in response to low stock and operational demand.</w:t>
      </w:r>
    </w:p>
    <w:p>
      <w:pPr>
        <w:pStyle w:val="ListNumber"/>
        <w:spacing w:after="80"/>
      </w:pPr>
      <w:r>
        <w:t>The requisition is submitted and reviewed according to role and organization controls.</w:t>
      </w:r>
    </w:p>
    <w:p>
      <w:pPr>
        <w:pStyle w:val="ListNumber"/>
        <w:spacing w:after="80"/>
      </w:pPr>
      <w:r>
        <w:t>An RFQ is issued to qualified vendors, and quotations are captured for comparison.</w:t>
      </w:r>
    </w:p>
    <w:p>
      <w:pPr>
        <w:pStyle w:val="ListNumber"/>
        <w:spacing w:after="80"/>
      </w:pPr>
      <w:r>
        <w:t>The buyer selects the commercial option and creates a purchase order with supplier, warehouse, amount, due date, and terms.</w:t>
      </w:r>
    </w:p>
    <w:p>
      <w:pPr>
        <w:pStyle w:val="ListNumber"/>
        <w:spacing w:after="80"/>
      </w:pPr>
      <w:r>
        <w:t>The vendor confirms, proposes a revision, or rejects the purchase order through the portal.</w:t>
      </w:r>
    </w:p>
    <w:p>
      <w:pPr>
        <w:pStyle w:val="ListNumber"/>
        <w:spacing w:after="80"/>
      </w:pPr>
      <w:r>
        <w:t>Accepted work progresses through processing, packing, ready for shipment, and transit.</w:t>
      </w:r>
    </w:p>
    <w:p>
      <w:pPr>
        <w:pStyle w:val="ListNumber"/>
        <w:spacing w:after="80"/>
      </w:pPr>
      <w:r>
        <w:t>Warehouse staff receive and inspect delivered goods. Accepted quantity updates inventory; partial or rejected quantity creates an exception path.</w:t>
      </w:r>
    </w:p>
    <w:p>
      <w:pPr>
        <w:pStyle w:val="ListNumber"/>
        <w:spacing w:after="80"/>
      </w:pPr>
      <w:r>
        <w:t>The purchase order is closed only after operational and document requirements are complete.</w:t>
      </w:r>
    </w:p>
    <w:p>
      <w:pPr>
        <w:pStyle w:val="Heading2"/>
      </w:pPr>
      <w:r>
        <w:t>Procurement controls</w:t>
      </w:r>
    </w:p>
    <w:p>
      <w:pPr>
        <w:pStyle w:val="ListBullet"/>
        <w:spacing w:after="60"/>
      </w:pPr>
      <w:r>
        <w:t>References are generated automatically and displayed as read-only values.</w:t>
      </w:r>
    </w:p>
    <w:p>
      <w:pPr>
        <w:pStyle w:val="ListBullet"/>
        <w:spacing w:after="60"/>
      </w:pPr>
      <w:r>
        <w:t>Organization and role checks are repeated on the server for every mutation.</w:t>
      </w:r>
    </w:p>
    <w:p>
      <w:pPr>
        <w:pStyle w:val="ListBullet"/>
        <w:spacing w:after="60"/>
      </w:pPr>
      <w:r>
        <w:t>Purchase order acknowledgement preserves confirmed, revised, or rejected responses.</w:t>
      </w:r>
    </w:p>
    <w:p>
      <w:pPr>
        <w:pStyle w:val="ListBullet"/>
        <w:spacing w:after="60"/>
      </w:pPr>
      <w:r>
        <w:t>Amounts use PHP as the current default currency.</w:t>
      </w:r>
    </w:p>
    <w:p>
      <w:pPr>
        <w:pStyle w:val="ListBullet"/>
        <w:spacing w:after="60"/>
      </w:pPr>
      <w:r>
        <w:t>Changes create audit or workflow events; stock is never increased merely because a PO exists.</w:t>
      </w:r>
    </w:p>
    <w:p>
      <w:r>
        <w:br w:type="page"/>
      </w:r>
    </w:p>
    <w:p>
      <w:pPr>
        <w:pStyle w:val="Heading1"/>
      </w:pPr>
      <w:r>
        <w:t>4. Vendor lifecycle and portal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6278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nd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27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7"/>
        </w:rPr>
        <w:t>Vendor users are scoped to one organization and supplier. Internal users retain approval and governance responsibilities.</w:t>
      </w:r>
    </w:p>
    <w:p>
      <w:pPr>
        <w:pStyle w:val="Heading2"/>
      </w:pPr>
      <w:r>
        <w:t>Phase A — onboarding and setup</w:t>
      </w:r>
    </w:p>
    <w:p>
      <w:pPr>
        <w:pStyle w:val="ListBullet"/>
        <w:spacing w:after="60"/>
      </w:pPr>
      <w:r>
        <w:t>Vendor submits company, contact, service, location, delivery, certification, tax, and legal information.</w:t>
      </w:r>
    </w:p>
    <w:p>
      <w:pPr>
        <w:pStyle w:val="ListBullet"/>
        <w:spacing w:after="60"/>
      </w:pPr>
      <w:r>
        <w:t>Internal staff review credentials and move onboarding through draft, submitted, under review, changes requested, approved, rejected, suspended, or archived.</w:t>
      </w:r>
    </w:p>
    <w:p>
      <w:pPr>
        <w:pStyle w:val="ListBullet"/>
        <w:spacing w:after="60"/>
      </w:pPr>
      <w:r>
        <w:t>Approved vendors receive a unique vendor code and may be assigned categories, commercial terms, risk rating, catalog items, shipping rules, contacts, and addresses.</w:t>
      </w:r>
    </w:p>
    <w:p>
      <w:pPr>
        <w:pStyle w:val="ListBullet"/>
        <w:spacing w:after="60"/>
      </w:pPr>
      <w:r>
        <w:t>An owner or authorized procurement user invites vendor personnel to the portal.</w:t>
      </w:r>
    </w:p>
    <w:p>
      <w:pPr>
        <w:pStyle w:val="Heading2"/>
      </w:pPr>
      <w:r>
        <w:t>Portal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584"/>
            <w:shd w:fill="0B1F3A"/>
            <w:tcBorders>
              <w:top w:val="single" w:sz="6" w:color="0B1F3A"/>
              <w:left w:val="single" w:sz="6" w:color="0B1F3A"/>
              <w:bottom w:val="single" w:sz="6" w:color="0B1F3A"/>
              <w:right w:val="single" w:sz="6" w:color="0B1F3A"/>
              <w:insideH w:val="single" w:sz="6" w:color="0B1F3A"/>
              <w:insideV w:val="single" w:sz="6" w:color="0B1F3A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Vendor role</w:t>
            </w:r>
          </w:p>
        </w:tc>
        <w:tc>
          <w:tcPr>
            <w:tcW w:type="dxa" w:w="2880"/>
            <w:shd w:fill="0B1F3A"/>
            <w:tcBorders>
              <w:top w:val="single" w:sz="6" w:color="0B1F3A"/>
              <w:left w:val="single" w:sz="6" w:color="0B1F3A"/>
              <w:bottom w:val="single" w:sz="6" w:color="0B1F3A"/>
              <w:right w:val="single" w:sz="6" w:color="0B1F3A"/>
              <w:insideH w:val="single" w:sz="6" w:color="0B1F3A"/>
              <w:insideV w:val="single" w:sz="6" w:color="0B1F3A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184"/>
            <w:shd w:fill="0B1F3A"/>
            <w:tcBorders>
              <w:top w:val="single" w:sz="6" w:color="0B1F3A"/>
              <w:left w:val="single" w:sz="6" w:color="0B1F3A"/>
              <w:bottom w:val="single" w:sz="6" w:color="0B1F3A"/>
              <w:right w:val="single" w:sz="6" w:color="0B1F3A"/>
              <w:insideH w:val="single" w:sz="6" w:color="0B1F3A"/>
              <w:insideV w:val="single" w:sz="6" w:color="0B1F3A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Typical capabilities</w:t>
            </w:r>
          </w:p>
        </w:tc>
      </w:tr>
      <w:tr>
        <w:tc>
          <w:tcPr>
            <w:tcW w:type="dxa" w:w="1584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Admin</w:t>
            </w:r>
          </w:p>
        </w:tc>
        <w:tc>
          <w:tcPr>
            <w:tcW w:type="dxa" w:w="2880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Vendor account administrator</w:t>
            </w:r>
          </w:p>
        </w:tc>
        <w:tc>
          <w:tcPr>
            <w:tcW w:type="dxa" w:w="5184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Manage vendor profile and portal users; broad vendor access</w:t>
            </w:r>
          </w:p>
        </w:tc>
      </w:tr>
      <w:tr>
        <w:tc>
          <w:tcPr>
            <w:tcW w:type="dxa" w:w="1584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Member</w:t>
            </w:r>
          </w:p>
        </w:tc>
        <w:tc>
          <w:tcPr>
            <w:tcW w:type="dxa" w:w="2880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General transaction user</w:t>
            </w:r>
          </w:p>
        </w:tc>
        <w:tc>
          <w:tcPr>
            <w:tcW w:type="dxa" w:w="5184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Catalog and routine purchase-order collaboration</w:t>
            </w:r>
          </w:p>
        </w:tc>
      </w:tr>
      <w:tr>
        <w:tc>
          <w:tcPr>
            <w:tcW w:type="dxa" w:w="1584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Finance</w:t>
            </w:r>
          </w:p>
        </w:tc>
        <w:tc>
          <w:tcPr>
            <w:tcW w:type="dxa" w:w="2880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Billing contact</w:t>
            </w:r>
          </w:p>
        </w:tc>
        <w:tc>
          <w:tcPr>
            <w:tcW w:type="dxa" w:w="5184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Invoices, financial documents, and payment visibility</w:t>
            </w:r>
          </w:p>
        </w:tc>
      </w:tr>
      <w:tr>
        <w:tc>
          <w:tcPr>
            <w:tcW w:type="dxa" w:w="1584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Logistics</w:t>
            </w:r>
          </w:p>
        </w:tc>
        <w:tc>
          <w:tcPr>
            <w:tcW w:type="dxa" w:w="2880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Shipment coordinator</w:t>
            </w:r>
          </w:p>
        </w:tc>
        <w:tc>
          <w:tcPr>
            <w:tcW w:type="dxa" w:w="5184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Shipment creation, milestones, tracking, and delivery updates</w:t>
            </w:r>
          </w:p>
        </w:tc>
      </w:tr>
    </w:tbl>
    <w:p>
      <w:pPr>
        <w:spacing w:after="20"/>
      </w:pPr>
    </w:p>
    <w:p>
      <w:pPr>
        <w:pStyle w:val="Heading2"/>
      </w:pPr>
      <w:r>
        <w:t>Phase B — transaction collaboration</w:t>
      </w:r>
    </w:p>
    <w:p>
      <w:pPr>
        <w:pStyle w:val="ListNumber"/>
        <w:spacing w:after="80"/>
      </w:pPr>
      <w:r>
        <w:t>Admin sends the purchase order digitally and the vendor receives it in the portal.</w:t>
      </w:r>
    </w:p>
    <w:p>
      <w:pPr>
        <w:pStyle w:val="ListNumber"/>
        <w:spacing w:after="80"/>
      </w:pPr>
      <w:r>
        <w:t>Vendor responds Confirmed, Revised, or Rejected. Proposed price, quantity, date, and message remain traceable.</w:t>
      </w:r>
    </w:p>
    <w:p>
      <w:pPr>
        <w:pStyle w:val="ListNumber"/>
        <w:spacing w:after="80"/>
      </w:pPr>
      <w:r>
        <w:t>Vendor creates a shipment linked to the purchase order, then posts milestones and tracking updates.</w:t>
      </w:r>
    </w:p>
    <w:p>
      <w:pPr>
        <w:pStyle w:val="ListNumber"/>
        <w:spacing w:after="80"/>
      </w:pPr>
      <w:r>
        <w:t>Delivery creates internal and vendor notifications. Warehouse staff perform receipt and inspection.</w:t>
      </w:r>
    </w:p>
    <w:p>
      <w:pPr>
        <w:pStyle w:val="ListNumber"/>
        <w:spacing w:after="80"/>
      </w:pPr>
      <w:r>
        <w:t>Vendor submits an invoice. The system compares invoice, PO, and received quantity and records matched or exception status.</w:t>
      </w:r>
    </w:p>
    <w:p>
      <w:pPr>
        <w:pStyle w:val="ListNumber"/>
        <w:spacing w:after="80"/>
      </w:pPr>
      <w:r>
        <w:t>Authorized staff approve and record payment according to agreed terms.</w:t>
      </w:r>
    </w:p>
    <w:p>
      <w:pPr>
        <w:pStyle w:val="Heading2"/>
      </w:pPr>
      <w:r>
        <w:t>Performance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232"/>
            <w:shd w:fill="0B1F3A"/>
            <w:tcBorders>
              <w:top w:val="single" w:sz="6" w:color="0B1F3A"/>
              <w:left w:val="single" w:sz="6" w:color="0B1F3A"/>
              <w:bottom w:val="single" w:sz="6" w:color="0B1F3A"/>
              <w:right w:val="single" w:sz="6" w:color="0B1F3A"/>
              <w:insideH w:val="single" w:sz="6" w:color="0B1F3A"/>
              <w:insideV w:val="single" w:sz="6" w:color="0B1F3A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Indicator</w:t>
            </w:r>
          </w:p>
        </w:tc>
        <w:tc>
          <w:tcPr>
            <w:tcW w:type="dxa" w:w="5112"/>
            <w:shd w:fill="0B1F3A"/>
            <w:tcBorders>
              <w:top w:val="single" w:sz="6" w:color="0B1F3A"/>
              <w:left w:val="single" w:sz="6" w:color="0B1F3A"/>
              <w:bottom w:val="single" w:sz="6" w:color="0B1F3A"/>
              <w:right w:val="single" w:sz="6" w:color="0B1F3A"/>
              <w:insideH w:val="single" w:sz="6" w:color="0B1F3A"/>
              <w:insideV w:val="single" w:sz="6" w:color="0B1F3A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2304"/>
            <w:shd w:fill="0B1F3A"/>
            <w:tcBorders>
              <w:top w:val="single" w:sz="6" w:color="0B1F3A"/>
              <w:left w:val="single" w:sz="6" w:color="0B1F3A"/>
              <w:bottom w:val="single" w:sz="6" w:color="0B1F3A"/>
              <w:right w:val="single" w:sz="6" w:color="0B1F3A"/>
              <w:insideH w:val="single" w:sz="6" w:color="0B1F3A"/>
              <w:insideV w:val="single" w:sz="6" w:color="0B1F3A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Weight in overall score</w:t>
            </w:r>
          </w:p>
        </w:tc>
      </w:tr>
      <w:tr>
        <w:tc>
          <w:tcPr>
            <w:tcW w:type="dxa" w:w="2232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On-time delivery</w:t>
            </w:r>
          </w:p>
        </w:tc>
        <w:tc>
          <w:tcPr>
            <w:tcW w:type="dxa" w:w="5112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Delivered by expected arrival or due date</w:t>
            </w:r>
          </w:p>
        </w:tc>
        <w:tc>
          <w:tcPr>
            <w:tcW w:type="dxa" w:w="2304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30%</w:t>
            </w:r>
          </w:p>
        </w:tc>
      </w:tr>
      <w:tr>
        <w:tc>
          <w:tcPr>
            <w:tcW w:type="dxa" w:w="2232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Fulfillment</w:t>
            </w:r>
          </w:p>
        </w:tc>
        <w:tc>
          <w:tcPr>
            <w:tcW w:type="dxa" w:w="5112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Received quantity compared with ordered quantity</w:t>
            </w:r>
          </w:p>
        </w:tc>
        <w:tc>
          <w:tcPr>
            <w:tcW w:type="dxa" w:w="2304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30%</w:t>
            </w:r>
          </w:p>
        </w:tc>
      </w:tr>
      <w:tr>
        <w:tc>
          <w:tcPr>
            <w:tcW w:type="dxa" w:w="2232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Quality</w:t>
            </w:r>
          </w:p>
        </w:tc>
        <w:tc>
          <w:tcPr>
            <w:tcW w:type="dxa" w:w="5112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Accepted quantity compared with inspected quantity</w:t>
            </w:r>
          </w:p>
        </w:tc>
        <w:tc>
          <w:tcPr>
            <w:tcW w:type="dxa" w:w="2304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20%</w:t>
            </w:r>
          </w:p>
        </w:tc>
      </w:tr>
      <w:tr>
        <w:tc>
          <w:tcPr>
            <w:tcW w:type="dxa" w:w="2232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Accuracy</w:t>
            </w:r>
          </w:p>
        </w:tc>
        <w:tc>
          <w:tcPr>
            <w:tcW w:type="dxa" w:w="5112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Matched invoices compared with total matches</w:t>
            </w:r>
          </w:p>
        </w:tc>
        <w:tc>
          <w:tcPr>
            <w:tcW w:type="dxa" w:w="2304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15%</w:t>
            </w:r>
          </w:p>
        </w:tc>
      </w:tr>
      <w:tr>
        <w:tc>
          <w:tcPr>
            <w:tcW w:type="dxa" w:w="2232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Response</w:t>
            </w:r>
          </w:p>
        </w:tc>
        <w:tc>
          <w:tcPr>
            <w:tcW w:type="dxa" w:w="5112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Acknowledgement speed, normalized across 48 hours</w:t>
            </w:r>
          </w:p>
        </w:tc>
        <w:tc>
          <w:tcPr>
            <w:tcW w:type="dxa" w:w="2304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5%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5. Recruitment and AI-assisted screening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8402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ruitm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840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7"/>
        </w:rPr>
        <w:t>The simplified hiring pipeline. Rejected and withdrawn outcomes are stored separately without creating extra active stages.</w:t>
      </w:r>
    </w:p>
    <w:p>
      <w:pPr>
        <w:pStyle w:val="ListNumber"/>
        <w:spacing w:after="80"/>
      </w:pPr>
      <w:r>
        <w:t>HR publishes an open job with description, required and preferred skills, minimum experience, and education requirement.</w:t>
      </w:r>
    </w:p>
    <w:p>
      <w:pPr>
        <w:pStyle w:val="ListNumber"/>
        <w:spacing w:after="80"/>
      </w:pPr>
      <w:r>
        <w:t>A candidate applies through the public careers page, gives screening consent, and uploads a PDF or DOCX resume.</w:t>
      </w:r>
    </w:p>
    <w:p>
      <w:pPr>
        <w:pStyle w:val="ListNumber"/>
        <w:spacing w:after="80"/>
      </w:pPr>
      <w:r>
        <w:t>The application receives an automatic reference and enters Applied.</w:t>
      </w:r>
    </w:p>
    <w:p>
      <w:pPr>
        <w:pStyle w:val="ListNumber"/>
        <w:spacing w:after="80"/>
      </w:pPr>
      <w:r>
        <w:t>A recruiter checks completeness and moves the candidate to Initial review.</w:t>
      </w:r>
    </w:p>
    <w:p>
      <w:pPr>
        <w:pStyle w:val="ListNumber"/>
        <w:spacing w:after="80"/>
      </w:pPr>
      <w:r>
        <w:t>Authorized staff run AI screening for the selected job. The service receives identity-minimized resume content and structured qualifications.</w:t>
      </w:r>
    </w:p>
    <w:p>
      <w:pPr>
        <w:pStyle w:val="ListNumber"/>
        <w:spacing w:after="80"/>
      </w:pPr>
      <w:r>
        <w:t>The system records scores, rank, matched skills, missing skills, model name, model version, weights, and explanations.</w:t>
      </w:r>
    </w:p>
    <w:p>
      <w:pPr>
        <w:pStyle w:val="ListNumber"/>
        <w:spacing w:after="80"/>
      </w:pPr>
      <w:r>
        <w:t>A human recruiter reviews the evidence and decides whether to move the candidate to Interview and then Hired.</w:t>
      </w:r>
    </w:p>
    <w:p>
      <w:pPr>
        <w:pStyle w:val="ListNumber"/>
        <w:spacing w:after="80"/>
      </w:pPr>
      <w:r>
        <w:t>Stage changes can trigger applicant email notifications when mail delivery is configured.</w:t>
      </w:r>
    </w:p>
    <w:p>
      <w:pPr>
        <w:pStyle w:val="Heading2"/>
      </w:pPr>
      <w:r>
        <w:t>How the match score is calculated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232"/>
            <w:shd w:fill="0B1F3A"/>
            <w:tcBorders>
              <w:top w:val="single" w:sz="6" w:color="0B1F3A"/>
              <w:left w:val="single" w:sz="6" w:color="0B1F3A"/>
              <w:bottom w:val="single" w:sz="6" w:color="0B1F3A"/>
              <w:right w:val="single" w:sz="6" w:color="0B1F3A"/>
              <w:insideH w:val="single" w:sz="6" w:color="0B1F3A"/>
              <w:insideV w:val="single" w:sz="6" w:color="0B1F3A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1728"/>
            <w:shd w:fill="0B1F3A"/>
            <w:tcBorders>
              <w:top w:val="single" w:sz="6" w:color="0B1F3A"/>
              <w:left w:val="single" w:sz="6" w:color="0B1F3A"/>
              <w:bottom w:val="single" w:sz="6" w:color="0B1F3A"/>
              <w:right w:val="single" w:sz="6" w:color="0B1F3A"/>
              <w:insideH w:val="single" w:sz="6" w:color="0B1F3A"/>
              <w:insideV w:val="single" w:sz="6" w:color="0B1F3A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Default weight</w:t>
            </w:r>
          </w:p>
        </w:tc>
        <w:tc>
          <w:tcPr>
            <w:tcW w:type="dxa" w:w="5760"/>
            <w:shd w:fill="0B1F3A"/>
            <w:tcBorders>
              <w:top w:val="single" w:sz="6" w:color="0B1F3A"/>
              <w:left w:val="single" w:sz="6" w:color="0B1F3A"/>
              <w:bottom w:val="single" w:sz="6" w:color="0B1F3A"/>
              <w:right w:val="single" w:sz="6" w:color="0B1F3A"/>
              <w:insideH w:val="single" w:sz="6" w:color="0B1F3A"/>
              <w:insideV w:val="single" w:sz="6" w:color="0B1F3A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Calculation</w:t>
            </w:r>
          </w:p>
        </w:tc>
      </w:tr>
      <w:tr>
        <w:tc>
          <w:tcPr>
            <w:tcW w:type="dxa" w:w="2232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Semantic similarity</w:t>
            </w:r>
          </w:p>
        </w:tc>
        <w:tc>
          <w:tcPr>
            <w:tcW w:type="dxa" w:w="1728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40%</w:t>
            </w:r>
          </w:p>
        </w:tc>
        <w:tc>
          <w:tcPr>
            <w:tcW w:type="dxa" w:w="5760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TF-IDF unigrams/bigrams plus cosine similarity between job and resume text</w:t>
            </w:r>
          </w:p>
        </w:tc>
      </w:tr>
      <w:tr>
        <w:tc>
          <w:tcPr>
            <w:tcW w:type="dxa" w:w="2232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Skills</w:t>
            </w:r>
          </w:p>
        </w:tc>
        <w:tc>
          <w:tcPr>
            <w:tcW w:type="dxa" w:w="1728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35%</w:t>
            </w:r>
          </w:p>
        </w:tc>
        <w:tc>
          <w:tcPr>
            <w:tcW w:type="dxa" w:w="5760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80% required-skill coverage plus 20% preferred-skill coverage</w:t>
            </w:r>
          </w:p>
        </w:tc>
      </w:tr>
      <w:tr>
        <w:tc>
          <w:tcPr>
            <w:tcW w:type="dxa" w:w="2232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Experience</w:t>
            </w:r>
          </w:p>
        </w:tc>
        <w:tc>
          <w:tcPr>
            <w:tcW w:type="dxa" w:w="1728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15%</w:t>
            </w:r>
          </w:p>
        </w:tc>
        <w:tc>
          <w:tcPr>
            <w:tcW w:type="dxa" w:w="5760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Applicant years divided by required years, capped at 100%</w:t>
            </w:r>
          </w:p>
        </w:tc>
      </w:tr>
      <w:tr>
        <w:tc>
          <w:tcPr>
            <w:tcW w:type="dxa" w:w="2232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Education</w:t>
            </w:r>
          </w:p>
        </w:tc>
        <w:tc>
          <w:tcPr>
            <w:tcW w:type="dxa" w:w="1728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10%</w:t>
            </w:r>
          </w:p>
        </w:tc>
        <w:tc>
          <w:tcPr>
            <w:tcW w:type="dxa" w:w="5760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Applicant education level compared with requested level, capped at 100%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  <w:insideH w:val="single" w:sz="10" w:color="2563EB"/>
              <w:insideV w:val="single" w:sz="10" w:color="2563EB"/>
            </w:tcBorders>
          </w:tcPr>
          <w:p>
            <w:pPr>
              <w:spacing w:before="120" w:after="120"/>
            </w:pPr>
            <w:r>
              <w:rPr>
                <w:b/>
                <w:color w:val="2563EB"/>
              </w:rPr>
              <w:t>Responsible-use rule</w:t>
              <w:br/>
            </w:r>
            <w:r>
              <w:rPr>
                <w:color w:val="10233F"/>
              </w:rPr>
              <w:t>The ranking supports recruiter review; it does not make the hiring decision. Name, email, phone, age, gender, ethnicity, and address are not supplied to the model. A human must evaluate evidence, accommodations, and job relevance before changing a hiring stage.</w:t>
            </w:r>
          </w:p>
        </w:tc>
      </w:tr>
    </w:tbl>
    <w:p>
      <w:r>
        <w:br w:type="page"/>
      </w:r>
    </w:p>
    <w:p>
      <w:pPr>
        <w:pStyle w:val="Heading1"/>
      </w:pPr>
      <w:r>
        <w:t>6. Notifications, messaging, and delivery updates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7340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unicati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34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7"/>
        </w:rPr>
        <w:t>Notifications are organization-scoped, role-protected, published in real time, and linked to the related dashboard record.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664"/>
            <w:shd w:fill="0B1F3A"/>
            <w:tcBorders>
              <w:top w:val="single" w:sz="6" w:color="0B1F3A"/>
              <w:left w:val="single" w:sz="6" w:color="0B1F3A"/>
              <w:bottom w:val="single" w:sz="6" w:color="0B1F3A"/>
              <w:right w:val="single" w:sz="6" w:color="0B1F3A"/>
              <w:insideH w:val="single" w:sz="6" w:color="0B1F3A"/>
              <w:insideV w:val="single" w:sz="6" w:color="0B1F3A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2016"/>
            <w:shd w:fill="0B1F3A"/>
            <w:tcBorders>
              <w:top w:val="single" w:sz="6" w:color="0B1F3A"/>
              <w:left w:val="single" w:sz="6" w:color="0B1F3A"/>
              <w:bottom w:val="single" w:sz="6" w:color="0B1F3A"/>
              <w:right w:val="single" w:sz="6" w:color="0B1F3A"/>
              <w:insideH w:val="single" w:sz="6" w:color="0B1F3A"/>
              <w:insideV w:val="single" w:sz="6" w:color="0B1F3A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Audience</w:t>
            </w:r>
          </w:p>
        </w:tc>
        <w:tc>
          <w:tcPr>
            <w:tcW w:type="dxa" w:w="5112"/>
            <w:shd w:fill="0B1F3A"/>
            <w:tcBorders>
              <w:top w:val="single" w:sz="6" w:color="0B1F3A"/>
              <w:left w:val="single" w:sz="6" w:color="0B1F3A"/>
              <w:bottom w:val="single" w:sz="6" w:color="0B1F3A"/>
              <w:right w:val="single" w:sz="6" w:color="0B1F3A"/>
              <w:insideH w:val="single" w:sz="6" w:color="0B1F3A"/>
              <w:insideV w:val="single" w:sz="6" w:color="0B1F3A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2664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New vendor application</w:t>
            </w:r>
          </w:p>
        </w:tc>
        <w:tc>
          <w:tcPr>
            <w:tcW w:type="dxa" w:w="2016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Internal</w:t>
            </w:r>
          </w:p>
        </w:tc>
        <w:tc>
          <w:tcPr>
            <w:tcW w:type="dxa" w:w="5112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Bell notification links to vendor review</w:t>
            </w:r>
          </w:p>
        </w:tc>
      </w:tr>
      <w:tr>
        <w:tc>
          <w:tcPr>
            <w:tcW w:type="dxa" w:w="2664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Vendor document submitted</w:t>
            </w:r>
          </w:p>
        </w:tc>
        <w:tc>
          <w:tcPr>
            <w:tcW w:type="dxa" w:w="2016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Internal</w:t>
            </w:r>
          </w:p>
        </w:tc>
        <w:tc>
          <w:tcPr>
            <w:tcW w:type="dxa" w:w="5112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Verification work becomes visible</w:t>
            </w:r>
          </w:p>
        </w:tc>
      </w:tr>
      <w:tr>
        <w:tc>
          <w:tcPr>
            <w:tcW w:type="dxa" w:w="2664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Shipment created or updated</w:t>
            </w:r>
          </w:p>
        </w:tc>
        <w:tc>
          <w:tcPr>
            <w:tcW w:type="dxa" w:w="2016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Internal and/or vendor</w:t>
            </w:r>
          </w:p>
        </w:tc>
        <w:tc>
          <w:tcPr>
            <w:tcW w:type="dxa" w:w="5112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Tracking and exception status is synchronized</w:t>
            </w:r>
          </w:p>
        </w:tc>
      </w:tr>
      <w:tr>
        <w:tc>
          <w:tcPr>
            <w:tcW w:type="dxa" w:w="2664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Invoice submitted</w:t>
            </w:r>
          </w:p>
        </w:tc>
        <w:tc>
          <w:tcPr>
            <w:tcW w:type="dxa" w:w="2016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Internal</w:t>
            </w:r>
          </w:p>
        </w:tc>
        <w:tc>
          <w:tcPr>
            <w:tcW w:type="dxa" w:w="5112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Finance is prompted to perform three-way matching</w:t>
            </w:r>
          </w:p>
        </w:tc>
      </w:tr>
      <w:tr>
        <w:tc>
          <w:tcPr>
            <w:tcW w:type="dxa" w:w="2664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Recruitment stage changed</w:t>
            </w:r>
          </w:p>
        </w:tc>
        <w:tc>
          <w:tcPr>
            <w:tcW w:type="dxa" w:w="2016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Applicant</w:t>
            </w:r>
          </w:p>
        </w:tc>
        <w:tc>
          <w:tcPr>
            <w:tcW w:type="dxa" w:w="5112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Configured email communicates the new stage</w:t>
            </w:r>
          </w:p>
        </w:tc>
      </w:tr>
      <w:tr>
        <w:tc>
          <w:tcPr>
            <w:tcW w:type="dxa" w:w="2664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Transaction message</w:t>
            </w:r>
          </w:p>
        </w:tc>
        <w:tc>
          <w:tcPr>
            <w:tcW w:type="dxa" w:w="2016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Internal or vendor conversation</w:t>
            </w:r>
          </w:p>
        </w:tc>
        <w:tc>
          <w:tcPr>
            <w:tcW w:type="dxa" w:w="5112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Conversation remains linked to PO, shipment, invoice, or general context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t>The bell displays the exact unread count and the 20 newest items.</w:t>
      </w:r>
    </w:p>
    <w:p>
      <w:pPr>
        <w:pStyle w:val="ListBullet"/>
        <w:spacing w:after="60"/>
      </w:pPr>
      <w:r>
        <w:t>Users can mark one item or all visible-scope items as read.</w:t>
      </w:r>
    </w:p>
    <w:p>
      <w:pPr>
        <w:pStyle w:val="ListBullet"/>
        <w:spacing w:after="60"/>
      </w:pPr>
      <w:r>
        <w:t>Opening a notification marks it read and routes to a validated internal dashboard URL.</w:t>
      </w:r>
    </w:p>
    <w:p>
      <w:pPr>
        <w:pStyle w:val="ListBullet"/>
        <w:spacing w:after="60"/>
      </w:pPr>
      <w:r>
        <w:t>Realtime database events refresh the shell without requiring a manual page reload.</w:t>
      </w:r>
    </w:p>
    <w:p>
      <w:pPr>
        <w:pStyle w:val="ListBullet"/>
        <w:spacing w:after="60"/>
      </w:pPr>
      <w:r>
        <w:t>Email delivery is separate from in-app notifications and depends on the configured SMTP provider.</w:t>
      </w:r>
    </w:p>
    <w:p>
      <w:r>
        <w:br w:type="page"/>
      </w:r>
    </w:p>
    <w:p>
      <w:pPr>
        <w:pStyle w:val="Heading1"/>
      </w:pPr>
      <w:r>
        <w:t>7. Security and governance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7340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r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34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7"/>
        </w:rPr>
        <w:t>UI visibility is a convenience; server authorization and database RLS are the enforcement boundaries.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88"/>
            <w:shd w:fill="0B1F3A"/>
            <w:tcBorders>
              <w:top w:val="single" w:sz="6" w:color="0B1F3A"/>
              <w:left w:val="single" w:sz="6" w:color="0B1F3A"/>
              <w:bottom w:val="single" w:sz="6" w:color="0B1F3A"/>
              <w:right w:val="single" w:sz="6" w:color="0B1F3A"/>
              <w:insideH w:val="single" w:sz="6" w:color="0B1F3A"/>
              <w:insideV w:val="single" w:sz="6" w:color="0B1F3A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4320"/>
            <w:shd w:fill="0B1F3A"/>
            <w:tcBorders>
              <w:top w:val="single" w:sz="6" w:color="0B1F3A"/>
              <w:left w:val="single" w:sz="6" w:color="0B1F3A"/>
              <w:bottom w:val="single" w:sz="6" w:color="0B1F3A"/>
              <w:right w:val="single" w:sz="6" w:color="0B1F3A"/>
              <w:insideH w:val="single" w:sz="6" w:color="0B1F3A"/>
              <w:insideV w:val="single" w:sz="6" w:color="0B1F3A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Implementation</w:t>
            </w:r>
          </w:p>
        </w:tc>
        <w:tc>
          <w:tcPr>
            <w:tcW w:type="dxa" w:w="3384"/>
            <w:shd w:fill="0B1F3A"/>
            <w:tcBorders>
              <w:top w:val="single" w:sz="6" w:color="0B1F3A"/>
              <w:left w:val="single" w:sz="6" w:color="0B1F3A"/>
              <w:bottom w:val="single" w:sz="6" w:color="0B1F3A"/>
              <w:right w:val="single" w:sz="6" w:color="0B1F3A"/>
              <w:insideH w:val="single" w:sz="6" w:color="0B1F3A"/>
              <w:insideV w:val="single" w:sz="6" w:color="0B1F3A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Risk reduced</w:t>
            </w:r>
          </w:p>
        </w:tc>
      </w:tr>
      <w:tr>
        <w:tc>
          <w:tcPr>
            <w:tcW w:type="dxa" w:w="2088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Tenant isolation</w:t>
            </w:r>
          </w:p>
        </w:tc>
        <w:tc>
          <w:tcPr>
            <w:tcW w:type="dxa" w:w="4320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organization_id plus forced row-level security</w:t>
            </w:r>
          </w:p>
        </w:tc>
        <w:tc>
          <w:tcPr>
            <w:tcW w:type="dxa" w:w="3384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Cross-organization data access</w:t>
            </w:r>
          </w:p>
        </w:tc>
      </w:tr>
      <w:tr>
        <w:tc>
          <w:tcPr>
            <w:tcW w:type="dxa" w:w="2088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Role-based access</w:t>
            </w:r>
          </w:p>
        </w:tc>
        <w:tc>
          <w:tcPr>
            <w:tcW w:type="dxa" w:w="4320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Membership roles and permission checks</w:t>
            </w:r>
          </w:p>
        </w:tc>
        <w:tc>
          <w:tcPr>
            <w:tcW w:type="dxa" w:w="3384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Unauthorized business actions</w:t>
            </w:r>
          </w:p>
        </w:tc>
      </w:tr>
      <w:tr>
        <w:tc>
          <w:tcPr>
            <w:tcW w:type="dxa" w:w="2088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Vendor isolation</w:t>
            </w:r>
          </w:p>
        </w:tc>
        <w:tc>
          <w:tcPr>
            <w:tcW w:type="dxa" w:w="4320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Vendor-user membership scoped to supplier</w:t>
            </w:r>
          </w:p>
        </w:tc>
        <w:tc>
          <w:tcPr>
            <w:tcW w:type="dxa" w:w="3384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Access to another vendor’s transactions</w:t>
            </w:r>
          </w:p>
        </w:tc>
      </w:tr>
      <w:tr>
        <w:tc>
          <w:tcPr>
            <w:tcW w:type="dxa" w:w="2088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MFA</w:t>
            </w:r>
          </w:p>
        </w:tc>
        <w:tc>
          <w:tcPr>
            <w:tcW w:type="dxa" w:w="4320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TOTP enrollment, challenge, and AAL2 checks</w:t>
            </w:r>
          </w:p>
        </w:tc>
        <w:tc>
          <w:tcPr>
            <w:tcW w:type="dxa" w:w="3384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Account takeover for privileged roles</w:t>
            </w:r>
          </w:p>
        </w:tc>
      </w:tr>
      <w:tr>
        <w:tc>
          <w:tcPr>
            <w:tcW w:type="dxa" w:w="2088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Private files</w:t>
            </w:r>
          </w:p>
        </w:tc>
        <w:tc>
          <w:tcPr>
            <w:tcW w:type="dxa" w:w="4320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Private storage buckets and short-lived signed URLs</w:t>
            </w:r>
          </w:p>
        </w:tc>
        <w:tc>
          <w:tcPr>
            <w:tcW w:type="dxa" w:w="3384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Public exposure of documents and resumes</w:t>
            </w:r>
          </w:p>
        </w:tc>
      </w:tr>
      <w:tr>
        <w:tc>
          <w:tcPr>
            <w:tcW w:type="dxa" w:w="2088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Immutable records</w:t>
            </w:r>
          </w:p>
        </w:tc>
        <w:tc>
          <w:tcPr>
            <w:tcW w:type="dxa" w:w="4320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Movement ledger and controlled RPC posting</w:t>
            </w:r>
          </w:p>
        </w:tc>
        <w:tc>
          <w:tcPr>
            <w:tcW w:type="dxa" w:w="3384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Silent inventory-history alteration</w:t>
            </w:r>
          </w:p>
        </w:tc>
      </w:tr>
      <w:tr>
        <w:tc>
          <w:tcPr>
            <w:tcW w:type="dxa" w:w="2088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Audit history</w:t>
            </w:r>
          </w:p>
        </w:tc>
        <w:tc>
          <w:tcPr>
            <w:tcW w:type="dxa" w:w="4320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Actor, action, entity, metadata, and timestamp</w:t>
            </w:r>
          </w:p>
        </w:tc>
        <w:tc>
          <w:tcPr>
            <w:tcW w:type="dxa" w:w="3384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Untraceable governance changes</w:t>
            </w:r>
          </w:p>
        </w:tc>
      </w:tr>
    </w:tbl>
    <w:p>
      <w:pPr>
        <w:spacing w:after="20"/>
      </w:pPr>
    </w:p>
    <w:p>
      <w:pPr>
        <w:pStyle w:val="Heading2"/>
      </w:pPr>
      <w:r>
        <w:t>Workspace data reset</w:t>
      </w:r>
    </w:p>
    <w:p>
      <w:pPr>
        <w:pStyle w:val="ListNumber"/>
        <w:spacing w:after="80"/>
      </w:pPr>
      <w:r>
        <w:t>Only an organization owner can request a reset.</w:t>
      </w:r>
    </w:p>
    <w:p>
      <w:pPr>
        <w:pStyle w:val="ListNumber"/>
        <w:spacing w:after="80"/>
      </w:pPr>
      <w:r>
        <w:t>The session must satisfy the privileged authentication level.</w:t>
      </w:r>
    </w:p>
    <w:p>
      <w:pPr>
        <w:pStyle w:val="ListNumber"/>
        <w:spacing w:after="80"/>
      </w:pPr>
      <w:r>
        <w:t>The owner must type the exact organization name to confirm intent.</w:t>
      </w:r>
    </w:p>
    <w:p>
      <w:pPr>
        <w:pStyle w:val="ListNumber"/>
        <w:spacing w:after="80"/>
      </w:pPr>
      <w:r>
        <w:t>An advisory lock prevents concurrent resets for the same organization.</w:t>
      </w:r>
    </w:p>
    <w:p>
      <w:pPr>
        <w:pStyle w:val="ListNumber"/>
        <w:spacing w:after="80"/>
      </w:pPr>
      <w:r>
        <w:t>Operational, vendor, recruitment, inventory, document metadata, warehouse, and related scoped records are deleted transactionally.</w:t>
      </w:r>
    </w:p>
    <w:p>
      <w:pPr>
        <w:pStyle w:val="ListNumber"/>
        <w:spacing w:after="80"/>
      </w:pPr>
      <w:r>
        <w:t>The organization, memberships, profiles, and pre-existing audit history remain.</w:t>
      </w:r>
    </w:p>
    <w:p>
      <w:pPr>
        <w:pStyle w:val="ListNumber"/>
        <w:spacing w:after="80"/>
      </w:pPr>
      <w:r>
        <w:t>Trigger-generated deletion noise is collapsed into one organization.data_reset governance event containing the deleted-record count.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8"/>
            <w:tcBorders>
              <w:top w:val="single" w:sz="10" w:color="DC2626"/>
              <w:left w:val="single" w:sz="10" w:color="DC2626"/>
              <w:bottom w:val="single" w:sz="10" w:color="DC2626"/>
              <w:right w:val="single" w:sz="10" w:color="DC2626"/>
              <w:insideH w:val="single" w:sz="10" w:color="DC2626"/>
              <w:insideV w:val="single" w:sz="10" w:color="DC2626"/>
            </w:tcBorders>
          </w:tcPr>
          <w:p>
            <w:pPr>
              <w:spacing w:before="120" w:after="120"/>
            </w:pPr>
            <w:r>
              <w:rPr>
                <w:b/>
                <w:color w:val="DC2626"/>
              </w:rPr>
              <w:t>Destructive operation</w:t>
              <w:br/>
            </w:r>
            <w:r>
              <w:rPr>
                <w:color w:val="10233F"/>
              </w:rPr>
              <w:t>A reset produces an empty operational workspace and cannot be undone from the application. Export or back up required records before execution.</w:t>
            </w:r>
          </w:p>
        </w:tc>
      </w:tr>
    </w:tbl>
    <w:p>
      <w:r>
        <w:br w:type="page"/>
      </w:r>
    </w:p>
    <w:p>
      <w:pPr>
        <w:pStyle w:val="Heading1"/>
      </w:pPr>
      <w:r>
        <w:t>8. Status and responsibility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944"/>
            <w:shd w:fill="0B1F3A"/>
            <w:tcBorders>
              <w:top w:val="single" w:sz="6" w:color="0B1F3A"/>
              <w:left w:val="single" w:sz="6" w:color="0B1F3A"/>
              <w:bottom w:val="single" w:sz="6" w:color="0B1F3A"/>
              <w:right w:val="single" w:sz="6" w:color="0B1F3A"/>
              <w:insideH w:val="single" w:sz="6" w:color="0B1F3A"/>
              <w:insideV w:val="single" w:sz="6" w:color="0B1F3A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5688"/>
            <w:shd w:fill="0B1F3A"/>
            <w:tcBorders>
              <w:top w:val="single" w:sz="6" w:color="0B1F3A"/>
              <w:left w:val="single" w:sz="6" w:color="0B1F3A"/>
              <w:bottom w:val="single" w:sz="6" w:color="0B1F3A"/>
              <w:right w:val="single" w:sz="6" w:color="0B1F3A"/>
              <w:insideH w:val="single" w:sz="6" w:color="0B1F3A"/>
              <w:insideV w:val="single" w:sz="6" w:color="0B1F3A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Primary statuses</w:t>
            </w:r>
          </w:p>
        </w:tc>
        <w:tc>
          <w:tcPr>
            <w:tcW w:type="dxa" w:w="2160"/>
            <w:shd w:fill="0B1F3A"/>
            <w:tcBorders>
              <w:top w:val="single" w:sz="6" w:color="0B1F3A"/>
              <w:left w:val="single" w:sz="6" w:color="0B1F3A"/>
              <w:bottom w:val="single" w:sz="6" w:color="0B1F3A"/>
              <w:right w:val="single" w:sz="6" w:color="0B1F3A"/>
              <w:insideH w:val="single" w:sz="6" w:color="0B1F3A"/>
              <w:insideV w:val="single" w:sz="6" w:color="0B1F3A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Business owner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Products</w:t>
            </w:r>
          </w:p>
        </w:tc>
        <w:tc>
          <w:tcPr>
            <w:tcW w:type="dxa" w:w="5688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Active, Inactive</w:t>
            </w:r>
          </w:p>
        </w:tc>
        <w:tc>
          <w:tcPr>
            <w:tcW w:type="dxa" w:w="2160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Procurement / Warehouse management</w:t>
            </w:r>
          </w:p>
        </w:tc>
      </w:tr>
      <w:tr>
        <w:tc>
          <w:tcPr>
            <w:tcW w:type="dxa" w:w="1944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Inventory operation</w:t>
            </w:r>
          </w:p>
        </w:tc>
        <w:tc>
          <w:tcPr>
            <w:tcW w:type="dxa" w:w="5688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Draft, Submitted, In progress, Completed, Cancelled</w:t>
            </w:r>
          </w:p>
        </w:tc>
        <w:tc>
          <w:tcPr>
            <w:tcW w:type="dxa" w:w="2160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Warehouse management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Warehouse task</w:t>
            </w:r>
          </w:p>
        </w:tc>
        <w:tc>
          <w:tcPr>
            <w:tcW w:type="dxa" w:w="5688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Open, Assigned, In progress, Completed, Cancelled</w:t>
            </w:r>
          </w:p>
        </w:tc>
        <w:tc>
          <w:tcPr>
            <w:tcW w:type="dxa" w:w="2160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Warehouse management / Operator</w:t>
            </w:r>
          </w:p>
        </w:tc>
      </w:tr>
      <w:tr>
        <w:tc>
          <w:tcPr>
            <w:tcW w:type="dxa" w:w="1944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Procurement</w:t>
            </w:r>
          </w:p>
        </w:tc>
        <w:tc>
          <w:tcPr>
            <w:tcW w:type="dxa" w:w="5688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Draft, Submitted, Approved, Sent, Received, Completed, Rejected, Cancelled</w:t>
            </w:r>
          </w:p>
        </w:tc>
        <w:tc>
          <w:tcPr>
            <w:tcW w:type="dxa" w:w="2160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Procurement manager / Buyer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Vendor onboarding</w:t>
            </w:r>
          </w:p>
        </w:tc>
        <w:tc>
          <w:tcPr>
            <w:tcW w:type="dxa" w:w="5688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Draft, Submitted, Under review, Changes requested, Approved, Rejected, Suspended, Archived</w:t>
            </w:r>
          </w:p>
        </w:tc>
        <w:tc>
          <w:tcPr>
            <w:tcW w:type="dxa" w:w="2160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Owner / Procurement</w:t>
            </w:r>
          </w:p>
        </w:tc>
      </w:tr>
      <w:tr>
        <w:tc>
          <w:tcPr>
            <w:tcW w:type="dxa" w:w="1944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Shipment</w:t>
            </w:r>
          </w:p>
        </w:tc>
        <w:tc>
          <w:tcPr>
            <w:tcW w:type="dxa" w:w="5688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Planned, Processing, Packing, Ready, Dispatched, In transit, Arrived, Delivered, Exception, Cancelled</w:t>
            </w:r>
          </w:p>
        </w:tc>
        <w:tc>
          <w:tcPr>
            <w:tcW w:type="dxa" w:w="2160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Vendor logistics / Internal logistics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Goods receipt</w:t>
            </w:r>
          </w:p>
        </w:tc>
        <w:tc>
          <w:tcPr>
            <w:tcW w:type="dxa" w:w="5688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Draft, Inspecting, Partial, Accepted, Rejected, Completed</w:t>
            </w:r>
          </w:p>
        </w:tc>
        <w:tc>
          <w:tcPr>
            <w:tcW w:type="dxa" w:w="2160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Warehouse management</w:t>
            </w:r>
          </w:p>
        </w:tc>
      </w:tr>
      <w:tr>
        <w:tc>
          <w:tcPr>
            <w:tcW w:type="dxa" w:w="1944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Invoice</w:t>
            </w:r>
          </w:p>
        </w:tc>
        <w:tc>
          <w:tcPr>
            <w:tcW w:type="dxa" w:w="5688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Draft, Submitted, Matching, Exception, Approved, Scheduled, Paid, Overdue, Rejected, Cancelled</w:t>
            </w:r>
          </w:p>
        </w:tc>
        <w:tc>
          <w:tcPr>
            <w:tcW w:type="dxa" w:w="2160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Finance-authorized vendor user / Internal procurement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Recruitment</w:t>
            </w:r>
          </w:p>
        </w:tc>
        <w:tc>
          <w:tcPr>
            <w:tcW w:type="dxa" w:w="5688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Applied, Initial review, AI screening, Interview, Hired</w:t>
            </w:r>
          </w:p>
        </w:tc>
        <w:tc>
          <w:tcPr>
            <w:tcW w:type="dxa" w:w="2160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HR manager / Recruiter</w:t>
            </w:r>
          </w:p>
        </w:tc>
      </w:tr>
    </w:tbl>
    <w:p>
      <w:pPr>
        <w:spacing w:after="20"/>
      </w:pPr>
    </w:p>
    <w:p>
      <w:pPr>
        <w:pStyle w:val="Heading2"/>
      </w:pPr>
      <w:r>
        <w:t>Recommended daily operating rhythm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00"/>
            <w:shd w:fill="0B1F3A"/>
            <w:tcBorders>
              <w:top w:val="single" w:sz="6" w:color="0B1F3A"/>
              <w:left w:val="single" w:sz="6" w:color="0B1F3A"/>
              <w:bottom w:val="single" w:sz="6" w:color="0B1F3A"/>
              <w:right w:val="single" w:sz="6" w:color="0B1F3A"/>
              <w:insideH w:val="single" w:sz="6" w:color="0B1F3A"/>
              <w:insideV w:val="single" w:sz="6" w:color="0B1F3A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When</w:t>
            </w:r>
          </w:p>
        </w:tc>
        <w:tc>
          <w:tcPr>
            <w:tcW w:type="dxa" w:w="5400"/>
            <w:shd w:fill="0B1F3A"/>
            <w:tcBorders>
              <w:top w:val="single" w:sz="6" w:color="0B1F3A"/>
              <w:left w:val="single" w:sz="6" w:color="0B1F3A"/>
              <w:bottom w:val="single" w:sz="6" w:color="0B1F3A"/>
              <w:right w:val="single" w:sz="6" w:color="0B1F3A"/>
              <w:insideH w:val="single" w:sz="6" w:color="0B1F3A"/>
              <w:insideV w:val="single" w:sz="6" w:color="0B1F3A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592"/>
            <w:shd w:fill="0B1F3A"/>
            <w:tcBorders>
              <w:top w:val="single" w:sz="6" w:color="0B1F3A"/>
              <w:left w:val="single" w:sz="6" w:color="0B1F3A"/>
              <w:bottom w:val="single" w:sz="6" w:color="0B1F3A"/>
              <w:right w:val="single" w:sz="6" w:color="0B1F3A"/>
              <w:insideH w:val="single" w:sz="6" w:color="0B1F3A"/>
              <w:insideV w:val="single" w:sz="6" w:color="0B1F3A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1800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Start of day</w:t>
            </w:r>
          </w:p>
        </w:tc>
        <w:tc>
          <w:tcPr>
            <w:tcW w:type="dxa" w:w="5400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Review Overview attention queue, service level, inbound work, and notifications</w:t>
            </w:r>
          </w:p>
        </w:tc>
        <w:tc>
          <w:tcPr>
            <w:tcW w:type="dxa" w:w="2592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Priority exceptions assigned</w:t>
            </w:r>
          </w:p>
        </w:tc>
      </w:tr>
      <w:tr>
        <w:tc>
          <w:tcPr>
            <w:tcW w:type="dxa" w:w="1800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During operations</w:t>
            </w:r>
          </w:p>
        </w:tc>
        <w:tc>
          <w:tcPr>
            <w:tcW w:type="dxa" w:w="5400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Post receipts/issues, complete tasks, update shipments, and resolve vendor messages</w:t>
            </w:r>
          </w:p>
        </w:tc>
        <w:tc>
          <w:tcPr>
            <w:tcW w:type="dxa" w:w="2592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Current stock and transaction status</w:t>
            </w:r>
          </w:p>
        </w:tc>
      </w:tr>
      <w:tr>
        <w:tc>
          <w:tcPr>
            <w:tcW w:type="dxa" w:w="1800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Before close</w:t>
            </w:r>
          </w:p>
        </w:tc>
        <w:tc>
          <w:tcPr>
            <w:tcW w:type="dxa" w:w="5400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Check negative/zero availability risks, overdue POs, invoice exceptions, and incomplete receipts</w:t>
            </w:r>
          </w:p>
        </w:tc>
        <w:tc>
          <w:tcPr>
            <w:tcW w:type="dxa" w:w="2592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Controlled carry-over list</w:t>
            </w:r>
          </w:p>
        </w:tc>
      </w:tr>
      <w:tr>
        <w:tc>
          <w:tcPr>
            <w:tcW w:type="dxa" w:w="1800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Weekly</w:t>
            </w:r>
          </w:p>
        </w:tc>
        <w:tc>
          <w:tcPr>
            <w:tcW w:type="dxa" w:w="5400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Review supplier history, open improvement plans, aging invoices, and recruitment pipeline</w:t>
            </w:r>
          </w:p>
        </w:tc>
        <w:tc>
          <w:tcPr>
            <w:tcW w:type="dxa" w:w="2592"/>
            <w:shd w:fill="F4F7FB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Management follow-up</w:t>
            </w:r>
          </w:p>
        </w:tc>
      </w:tr>
      <w:tr>
        <w:tc>
          <w:tcPr>
            <w:tcW w:type="dxa" w:w="1800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Monthly / quarterly</w:t>
            </w:r>
          </w:p>
        </w:tc>
        <w:tc>
          <w:tcPr>
            <w:tcW w:type="dxa" w:w="5400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Refresh vendor scorecards and audit role, membership, warehouse, and security controls</w:t>
            </w:r>
          </w:p>
        </w:tc>
        <w:tc>
          <w:tcPr>
            <w:tcW w:type="dxa" w:w="2592"/>
            <w:shd w:fill="FFFFFF"/>
            <w:tcBorders>
              <w:top w:val="single" w:sz="6" w:color="D7E3F3"/>
              <w:left w:val="single" w:sz="6" w:color="D7E3F3"/>
              <w:bottom w:val="single" w:sz="6" w:color="D7E3F3"/>
              <w:right w:val="single" w:sz="6" w:color="D7E3F3"/>
              <w:insideH w:val="single" w:sz="6" w:color="D7E3F3"/>
              <w:insideV w:val="single" w:sz="6" w:color="D7E3F3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Governance evidence and performance action</w:t>
            </w:r>
          </w:p>
        </w:tc>
      </w:tr>
    </w:tbl>
    <w:p>
      <w:pPr>
        <w:spacing w:after="20"/>
      </w:pPr>
    </w:p>
    <w:p>
      <w:pPr>
        <w:pStyle w:val="Heading2"/>
      </w:pPr>
      <w:r>
        <w:t>Process acceptance checklist</w:t>
      </w:r>
    </w:p>
    <w:p>
      <w:pPr>
        <w:pStyle w:val="ListBullet"/>
        <w:spacing w:after="60"/>
      </w:pPr>
      <w:r>
        <w:t>Every record is scoped to the correct organization and, where applicable, warehouse, location, supplier, or job.</w:t>
      </w:r>
    </w:p>
    <w:p>
      <w:pPr>
        <w:pStyle w:val="ListBullet"/>
        <w:spacing w:after="60"/>
      </w:pPr>
      <w:r>
        <w:t>The acting role is authorized for the requested transition.</w:t>
      </w:r>
    </w:p>
    <w:p>
      <w:pPr>
        <w:pStyle w:val="ListBullet"/>
        <w:spacing w:after="60"/>
      </w:pPr>
      <w:r>
        <w:t>References are generated automatically and remain visible throughout the workflow.</w:t>
      </w:r>
    </w:p>
    <w:p>
      <w:pPr>
        <w:pStyle w:val="ListBullet"/>
        <w:spacing w:after="60"/>
      </w:pPr>
      <w:r>
        <w:t>Inventory quantity changes are supported by immutable movement records.</w:t>
      </w:r>
    </w:p>
    <w:p>
      <w:pPr>
        <w:pStyle w:val="ListBullet"/>
        <w:spacing w:after="60"/>
      </w:pPr>
      <w:r>
        <w:t>External or financial changes have the necessary document and status evidence.</w:t>
      </w:r>
    </w:p>
    <w:p>
      <w:pPr>
        <w:pStyle w:val="ListBullet"/>
        <w:spacing w:after="60"/>
      </w:pPr>
      <w:r>
        <w:t>Exceptions are visible in the attention queue, notification center, workflow history, or audit log.</w:t>
      </w:r>
    </w:p>
    <w:p>
      <w:pPr>
        <w:pStyle w:val="ListBullet"/>
        <w:spacing w:after="60"/>
      </w:pPr>
      <w:r>
        <w:t>A human remains responsible for approvals, supplier action, inventory corrections, and hiring decisions.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4748B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2563EB"/>
        <w:sz w:val="16"/>
      </w:rPr>
      <w:t>SCIM-INVENTORY  /  WORKFLOW &amp; PROCESS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023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F3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23A7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0B1F3A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00" w:after="140"/>
    </w:pPr>
    <w:rPr>
      <w:rFonts w:asciiTheme="majorHAnsi" w:eastAsiaTheme="majorEastAsia" w:hAnsiTheme="majorHAnsi" w:cstheme="majorBidi" w:ascii="Aptos Display" w:hAnsi="Aptos Display"/>
      <w:b w:val="0"/>
      <w:i/>
      <w:iCs/>
      <w:color w:val="64748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SCIM-Inventory Workflow &amp; Process Guide</dc:title>
  <dc:subject>End-to-end operational workflows and flowcharts</dc:subject>
  <dc:creator>SCIM-Inventory</dc:creator>
  <cp:keywords>inventory, procurement, warehouse, vendor, recruitment, workflow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