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D4" w:rsidRPr="00984347" w:rsidRDefault="00A62DD4" w:rsidP="00A62DD4">
      <w:pPr>
        <w:pStyle w:val="Heading3"/>
        <w:numPr>
          <w:ilvl w:val="0"/>
          <w:numId w:val="0"/>
        </w:numPr>
        <w:ind w:left="720" w:hanging="720"/>
        <w:rPr>
          <w:color w:val="984806" w:themeColor="accent6" w:themeShade="80"/>
          <w:lang w:bidi="th-TH"/>
        </w:rPr>
      </w:pPr>
      <w:bookmarkStart w:id="0" w:name="_Toc342991107"/>
      <w:bookmarkStart w:id="1" w:name="_Toc495460092"/>
      <w:bookmarkStart w:id="2" w:name="_Toc498843305"/>
      <w:bookmarkStart w:id="3" w:name="_Toc24906349"/>
      <w:bookmarkStart w:id="4" w:name="_GoBack"/>
      <w:r w:rsidRPr="00984347">
        <w:rPr>
          <w:color w:val="984806" w:themeColor="accent6" w:themeShade="80"/>
          <w:lang w:bidi="th-TH"/>
        </w:rPr>
        <w:t>Federated Graph Mapping</w:t>
      </w:r>
      <w:bookmarkEnd w:id="0"/>
    </w:p>
    <w:bookmarkEnd w:id="4"/>
    <w:p w:rsidR="00984347" w:rsidRPr="00984347" w:rsidRDefault="00984347" w:rsidP="00984347">
      <w:pPr>
        <w:rPr>
          <w:lang w:val="en-US" w:bidi="th-TH"/>
        </w:rPr>
      </w:pPr>
    </w:p>
    <w:p w:rsidR="00A62DD4" w:rsidRDefault="00A62DD4" w:rsidP="00A62DD4">
      <w:pPr>
        <w:rPr>
          <w:lang w:val="en-US" w:bidi="th-TH"/>
        </w:rPr>
      </w:pPr>
      <w:r>
        <w:rPr>
          <w:lang w:val="en-US" w:bidi="th-TH"/>
        </w:rPr>
        <w:t xml:space="preserve">In practice is it often necessary to </w:t>
      </w:r>
      <w:proofErr w:type="gramStart"/>
      <w:r>
        <w:rPr>
          <w:lang w:val="en-US" w:bidi="th-TH"/>
        </w:rPr>
        <w:t>persist</w:t>
      </w:r>
      <w:proofErr w:type="gramEnd"/>
      <w:r>
        <w:rPr>
          <w:lang w:val="en-US" w:bidi="th-TH"/>
        </w:rPr>
        <w:t xml:space="preserve"> data across multiple cloud data store tables. Under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, a data graph may span multiple rows within a single data store table, or span multiple rows and multiple tables. Federation is easily enabled based on various settings within the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configuration. No special code or model annotations are necessary. Under federated scenarios a pluggable transaction API is used which supports a growing list of client transaction libraries.     </w:t>
      </w: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94C" w:rsidRDefault="00CD394C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CD394C" w:rsidRDefault="00CD394C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94C" w:rsidRDefault="00CD394C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CD394C" w:rsidRDefault="00CD394C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8E0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8434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2DD4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94C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3E7B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E87B2-5290-4552-A558-228F8415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3</cp:revision>
  <cp:lastPrinted>2012-02-26T16:59:00Z</cp:lastPrinted>
  <dcterms:created xsi:type="dcterms:W3CDTF">2012-12-12T15:53:00Z</dcterms:created>
  <dcterms:modified xsi:type="dcterms:W3CDTF">2012-12-12T17:18:00Z</dcterms:modified>
</cp:coreProperties>
</file>