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81246">
      <w:pPr>
        <w:spacing w:line="360" w:lineRule="auto"/>
        <w:jc w:val="center"/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毕业论文（设计）任务书</w:t>
      </w:r>
    </w:p>
    <w:p w14:paraId="5991F2A7">
      <w:pPr>
        <w:spacing w:line="360" w:lineRule="auto"/>
        <w:rPr>
          <w:rFonts w:ascii="黑体" w:eastAsia="黑体"/>
          <w:sz w:val="32"/>
          <w:szCs w:val="32"/>
        </w:rPr>
      </w:pPr>
    </w:p>
    <w:p w14:paraId="4F16C7BC">
      <w:pPr>
        <w:spacing w:line="360" w:lineRule="auto"/>
        <w:rPr>
          <w:sz w:val="24"/>
          <w:u w:val="single"/>
        </w:rPr>
      </w:pPr>
      <w:r>
        <w:rPr>
          <w:rFonts w:hint="eastAsia" w:ascii="黑体" w:eastAsia="黑体"/>
          <w:sz w:val="24"/>
        </w:rPr>
        <w:t>论文（设计）中文题目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>针对CAPWAP协议的安全分析工具设计与实现</w:t>
      </w:r>
    </w:p>
    <w:p w14:paraId="37F953AF">
      <w:pPr>
        <w:spacing w:line="360" w:lineRule="auto"/>
        <w:rPr>
          <w:sz w:val="24"/>
        </w:rPr>
      </w:pPr>
    </w:p>
    <w:tbl>
      <w:tblPr>
        <w:tblStyle w:val="4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3675"/>
        <w:gridCol w:w="1365"/>
        <w:gridCol w:w="2700"/>
      </w:tblGrid>
      <w:tr w14:paraId="297F9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51" w:hRule="atLeast"/>
        </w:trPr>
        <w:tc>
          <w:tcPr>
            <w:tcW w:w="8460" w:type="dxa"/>
            <w:gridSpan w:val="4"/>
          </w:tcPr>
          <w:p w14:paraId="730C38FD">
            <w:pPr>
              <w:ind w:right="105" w:rightChars="50"/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论文（设计）的主要内容与要求：</w:t>
            </w:r>
          </w:p>
          <w:p w14:paraId="36F328A3">
            <w:pPr>
              <w:pStyle w:val="3"/>
              <w:widowControl/>
              <w:ind w:firstLine="480" w:firstLineChars="200"/>
            </w:pPr>
            <w:r>
              <w:t>无线接入控制设备通常采用 AP/AC 集中控制架构，其典型组成包括无线接入点（Access Point，简称 AP）和无线接入控制器（Access Controller，简称 AC）。AP 主要负责为终端设备提供无线接入服务，AC 负责对多个 AP 进行集中管理与控制，在企业、校园等大规模无线网络场景中实现统一配置、状态监控以及无缝漫游、负载均衡等功能。</w:t>
            </w:r>
          </w:p>
          <w:p w14:paraId="296AD041">
            <w:pPr>
              <w:pStyle w:val="3"/>
              <w:widowControl/>
              <w:ind w:firstLine="480" w:firstLineChars="200"/>
            </w:pPr>
            <w:r>
              <w:t>AP 与 AC 之间通常通过 CAPWAP（Control And Provisioning of Wireless Access Points）协议进行通信。该协议定义了 AP 自动发现 AC、控制状态机运行、配置下发以及终端数据通过 CAPWAP 隧道进行封装与转发等机制，实现了无线网络控制面与数据面的分离。</w:t>
            </w:r>
          </w:p>
          <w:p w14:paraId="01C41BB1">
            <w:pPr>
              <w:pStyle w:val="3"/>
              <w:widowControl/>
              <w:ind w:firstLine="480" w:firstLineChars="200"/>
            </w:pPr>
            <w:r>
              <w:t xml:space="preserve">本课题以 AP/AC 架构下的 CAPWAP 协议为研究对象，主要内容包括：系统学习 CAPWAP 协议标准与工作流程，分析 AP 与 AC 交互过程中的关键实现机制；基于开源协议框架 </w:t>
            </w:r>
            <w:r>
              <w:rPr>
                <w:rFonts w:hint="eastAsia"/>
              </w:rPr>
              <w:t>O</w:t>
            </w:r>
            <w:r>
              <w:t>penCAPWAP，在虚拟机环境中搭建 AP 与 AC 的仿真系统；在此基础上，设计并实现一套面向 CAPWAP 协议的模糊测试工具，对协议报文解析与状态转换逻辑进行测试与分析；最终选取典型 AP/AC 设备进行实验验证，评估所实现工具的有效性。</w:t>
            </w:r>
          </w:p>
          <w:p w14:paraId="5B67131E">
            <w:pPr>
              <w:pStyle w:val="3"/>
              <w:widowControl/>
              <w:ind w:firstLine="480" w:firstLineChars="200"/>
            </w:pPr>
            <w:r>
              <w:t xml:space="preserve">学生应具备计算机网络和程序设计基础，掌握至少一种常用编程语言，并能够查阅和理解相关技术文档。前期需完成 CAPWAP 协议文献调研，熟悉 </w:t>
            </w:r>
            <w:r>
              <w:rPr>
                <w:rFonts w:hint="eastAsia"/>
              </w:rPr>
              <w:t>O</w:t>
            </w:r>
            <w:r>
              <w:t>penCAPWAP 框架及虚拟机实验环境</w:t>
            </w:r>
            <w:r>
              <w:rPr>
                <w:rFonts w:hint="eastAsia"/>
              </w:rPr>
              <w:t>，了解典型AP/AC设备部署场景和方法</w:t>
            </w:r>
            <w:r>
              <w:t>，为</w:t>
            </w:r>
            <w:r>
              <w:rPr>
                <w:rFonts w:hint="eastAsia"/>
              </w:rPr>
              <w:t>后续</w:t>
            </w:r>
            <w:r>
              <w:t>研究和实现工作做好准备。</w:t>
            </w:r>
          </w:p>
          <w:p w14:paraId="5DA63B90">
            <w:pPr>
              <w:pStyle w:val="3"/>
              <w:widowControl/>
              <w:ind w:firstLine="480" w:firstLineChars="200"/>
            </w:pPr>
            <w:r>
              <w:t>本课题侧重协议分析与工程实践，研究难度和工作量适中，符合计算机科学与技术专业本科毕业设计要求，能够有效锻炼学生综合运用专业知识解决实际问题的能力。</w:t>
            </w:r>
          </w:p>
          <w:p w14:paraId="78A693C3">
            <w:pPr>
              <w:pStyle w:val="3"/>
              <w:widowControl/>
              <w:rPr>
                <w:rFonts w:hint="eastAsia"/>
              </w:rPr>
            </w:pPr>
          </w:p>
        </w:tc>
      </w:tr>
      <w:tr w14:paraId="3F796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atLeast"/>
        </w:trPr>
        <w:tc>
          <w:tcPr>
            <w:tcW w:w="8460" w:type="dxa"/>
            <w:gridSpan w:val="4"/>
            <w:vAlign w:val="center"/>
          </w:tcPr>
          <w:p w14:paraId="20177893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进   度   安   排</w:t>
            </w:r>
          </w:p>
        </w:tc>
      </w:tr>
      <w:tr w14:paraId="7778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720" w:type="dxa"/>
            <w:vAlign w:val="center"/>
          </w:tcPr>
          <w:p w14:paraId="30AEC26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5040" w:type="dxa"/>
            <w:gridSpan w:val="2"/>
            <w:vAlign w:val="center"/>
          </w:tcPr>
          <w:p w14:paraId="3B64811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论文（设计）工作内容</w:t>
            </w:r>
          </w:p>
        </w:tc>
        <w:tc>
          <w:tcPr>
            <w:tcW w:w="2700" w:type="dxa"/>
            <w:vAlign w:val="center"/>
          </w:tcPr>
          <w:p w14:paraId="19B95ED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时间（起止周数）</w:t>
            </w:r>
          </w:p>
        </w:tc>
      </w:tr>
      <w:tr w14:paraId="464D5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0" w:type="dxa"/>
            <w:vAlign w:val="center"/>
          </w:tcPr>
          <w:p w14:paraId="5EDDF8D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040" w:type="dxa"/>
            <w:gridSpan w:val="2"/>
            <w:vAlign w:val="center"/>
          </w:tcPr>
          <w:p w14:paraId="04A06AD6">
            <w:pPr>
              <w:jc w:val="center"/>
              <w:rPr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明确课题方向，查阅 </w:t>
            </w:r>
            <w:r>
              <w:rPr>
                <w:kern w:val="0"/>
                <w:sz w:val="24"/>
                <w:lang w:bidi="ar"/>
              </w:rPr>
              <w:t>CAPWAP 相关文献与标准。</w:t>
            </w:r>
            <w:r>
              <w:rPr>
                <w:rFonts w:hint="eastAsia"/>
                <w:kern w:val="0"/>
                <w:sz w:val="24"/>
                <w:lang w:bidi="ar"/>
              </w:rPr>
              <w:t>。</w:t>
            </w:r>
          </w:p>
        </w:tc>
        <w:tc>
          <w:tcPr>
            <w:tcW w:w="2700" w:type="dxa"/>
            <w:vAlign w:val="center"/>
          </w:tcPr>
          <w:p w14:paraId="192F4A98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第1周至第2周</w:t>
            </w:r>
          </w:p>
        </w:tc>
      </w:tr>
      <w:tr w14:paraId="4077C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0" w:type="dxa"/>
            <w:vAlign w:val="center"/>
          </w:tcPr>
          <w:p w14:paraId="20B06C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5040" w:type="dxa"/>
            <w:gridSpan w:val="2"/>
            <w:vAlign w:val="center"/>
          </w:tcPr>
          <w:p w14:paraId="2B4F78D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学习CAPWAP协议流程，熟悉OpenCAPWAP架构</w:t>
            </w:r>
          </w:p>
        </w:tc>
        <w:tc>
          <w:tcPr>
            <w:tcW w:w="2700" w:type="dxa"/>
            <w:vAlign w:val="center"/>
          </w:tcPr>
          <w:p w14:paraId="22DAD706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第3周至第4周</w:t>
            </w:r>
          </w:p>
        </w:tc>
      </w:tr>
      <w:tr w14:paraId="4B884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0" w:type="dxa"/>
            <w:vAlign w:val="center"/>
          </w:tcPr>
          <w:p w14:paraId="4E0C43A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5040" w:type="dxa"/>
            <w:gridSpan w:val="2"/>
            <w:vAlign w:val="center"/>
          </w:tcPr>
          <w:p w14:paraId="478CB28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学习常见模糊测试工具，熟悉使用流程。</w:t>
            </w:r>
          </w:p>
        </w:tc>
        <w:tc>
          <w:tcPr>
            <w:tcW w:w="2700" w:type="dxa"/>
            <w:vAlign w:val="center"/>
          </w:tcPr>
          <w:p w14:paraId="7BAA338B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第5周至第6周</w:t>
            </w:r>
          </w:p>
        </w:tc>
      </w:tr>
      <w:tr w14:paraId="7A8C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0" w:type="dxa"/>
            <w:vAlign w:val="center"/>
          </w:tcPr>
          <w:p w14:paraId="46E84E2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5040" w:type="dxa"/>
            <w:gridSpan w:val="2"/>
            <w:vAlign w:val="center"/>
          </w:tcPr>
          <w:p w14:paraId="590B319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搭建虚拟机环境，运用OpenCAPWAP实现AP/AC的仿真部署。</w:t>
            </w:r>
          </w:p>
        </w:tc>
        <w:tc>
          <w:tcPr>
            <w:tcW w:w="2700" w:type="dxa"/>
            <w:vAlign w:val="center"/>
          </w:tcPr>
          <w:p w14:paraId="1D7A5EA0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第7周至第8周</w:t>
            </w:r>
          </w:p>
        </w:tc>
      </w:tr>
      <w:tr w14:paraId="59B57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0" w:type="dxa"/>
            <w:vAlign w:val="center"/>
          </w:tcPr>
          <w:p w14:paraId="09BDD42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5040" w:type="dxa"/>
            <w:gridSpan w:val="2"/>
            <w:vAlign w:val="center"/>
          </w:tcPr>
          <w:p w14:paraId="5281903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分析协议报文，设计 CAPWAP 模糊测试方案。</w:t>
            </w:r>
          </w:p>
        </w:tc>
        <w:tc>
          <w:tcPr>
            <w:tcW w:w="2700" w:type="dxa"/>
            <w:vAlign w:val="center"/>
          </w:tcPr>
          <w:p w14:paraId="4F85C3CD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第9周至第10周</w:t>
            </w:r>
          </w:p>
        </w:tc>
      </w:tr>
      <w:tr w14:paraId="015A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0" w:type="dxa"/>
            <w:vAlign w:val="center"/>
          </w:tcPr>
          <w:p w14:paraId="2098A81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5040" w:type="dxa"/>
            <w:gridSpan w:val="2"/>
            <w:vAlign w:val="center"/>
          </w:tcPr>
          <w:p w14:paraId="1B7586D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实现并运行模糊测试工具，分析异常结果。</w:t>
            </w:r>
          </w:p>
        </w:tc>
        <w:tc>
          <w:tcPr>
            <w:tcW w:w="2700" w:type="dxa"/>
            <w:vAlign w:val="center"/>
          </w:tcPr>
          <w:p w14:paraId="06C2FC6A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第11周至第12周</w:t>
            </w:r>
          </w:p>
        </w:tc>
      </w:tr>
      <w:tr w14:paraId="4933D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0" w:type="dxa"/>
            <w:vAlign w:val="center"/>
          </w:tcPr>
          <w:p w14:paraId="7BF8B9A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5040" w:type="dxa"/>
            <w:gridSpan w:val="2"/>
            <w:vAlign w:val="center"/>
          </w:tcPr>
          <w:p w14:paraId="0FF6DEF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在典型 AP/AC 设备上进行测试验证。</w:t>
            </w:r>
          </w:p>
        </w:tc>
        <w:tc>
          <w:tcPr>
            <w:tcW w:w="2700" w:type="dxa"/>
            <w:vAlign w:val="center"/>
          </w:tcPr>
          <w:p w14:paraId="0CD457AA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第13周至第14周</w:t>
            </w:r>
          </w:p>
        </w:tc>
      </w:tr>
      <w:tr w14:paraId="13DF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0" w:type="dxa"/>
            <w:vAlign w:val="center"/>
          </w:tcPr>
          <w:p w14:paraId="6492409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5040" w:type="dxa"/>
            <w:gridSpan w:val="2"/>
            <w:vAlign w:val="center"/>
          </w:tcPr>
          <w:p w14:paraId="59C446A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撰写并完善毕业论文，准备答辩。</w:t>
            </w:r>
          </w:p>
        </w:tc>
        <w:tc>
          <w:tcPr>
            <w:tcW w:w="2700" w:type="dxa"/>
            <w:vAlign w:val="center"/>
          </w:tcPr>
          <w:p w14:paraId="59D678A9">
            <w:pPr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第15周至第16周</w:t>
            </w:r>
          </w:p>
        </w:tc>
      </w:tr>
      <w:tr w14:paraId="481B0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5" w:hRule="atLeast"/>
        </w:trPr>
        <w:tc>
          <w:tcPr>
            <w:tcW w:w="8460" w:type="dxa"/>
            <w:gridSpan w:val="4"/>
          </w:tcPr>
          <w:p w14:paraId="0CD4A6FF">
            <w:pPr>
              <w:ind w:left="105" w:leftChars="50" w:right="105" w:rightChars="50"/>
              <w:rPr>
                <w:sz w:val="24"/>
              </w:rPr>
            </w:pPr>
            <w:r>
              <w:rPr>
                <w:rFonts w:hint="eastAsia"/>
                <w:sz w:val="24"/>
              </w:rPr>
              <w:t>主要参考文献：</w:t>
            </w:r>
          </w:p>
          <w:p w14:paraId="55173171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[1] Stanley D, Montemurro M, Calhoun P R. Control And Provisioning of Wireless Access Points (CAPWAP) Protocol Specification[S]. RFC 5415, 2009.</w:t>
            </w:r>
          </w:p>
          <w:p w14:paraId="75D0ADB7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[2] Calhoun P, Montemurro M, Stanley D. Control And Provisioning of Wireless Access Points (CAPWAP) Architecture[S]. RFC 5416, 2009.</w:t>
            </w:r>
          </w:p>
          <w:p w14:paraId="61A5345F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[3] IEEE Standard for Information Technology—Telecommunications and Information Exchange Between Systems—Local and Metropolitan Area Networks—Specific Requirements—Part 11: Wireless LAN Medium Access Control (MAC) and Physical Layer (PHY) Specifications[S]. IEEE Std 802.11, 2016.</w:t>
            </w:r>
          </w:p>
          <w:p w14:paraId="19D71A1F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</w:p>
          <w:p w14:paraId="6C11E988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[4] Cacace F, Iannello G, Vollero L. OpenCAPWAP: An open source CAPWAP implementation for the management and configuration of WiFi hotspots[J]. Computer Networks, 2009, 53(2): 217-230.</w:t>
            </w:r>
          </w:p>
          <w:p w14:paraId="0638F12F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[5] Agostini E, Bernaschi M, Vellucci M, Vollero L. OpenCAPWAP v2.0: The new open-source implementation of the CAPWAP protocol[J]. International Journal of Network Management, 2016, 26(6): 537-552.</w:t>
            </w:r>
          </w:p>
          <w:p w14:paraId="51894568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</w:p>
          <w:p w14:paraId="1A387C80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[6] Miller B P, Fredriksen L, So B. An Empirical Study of the Reliability of UNIX Utilities[J]. Communications of the ACM, 1990, 33(12): 32-44.</w:t>
            </w:r>
          </w:p>
          <w:p w14:paraId="040D0C8D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[7] Jiang S, Zhang Y, Li J, Yu H, Luo L, Sun G. A Survey of Network Protocol Fuzzing: Model, Techniques and Directions[J/OL]. arXiv:2402.17394, 2024.</w:t>
            </w:r>
          </w:p>
          <w:p w14:paraId="03A72CBB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</w:p>
          <w:p w14:paraId="3F6BBB8E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[8] Fioraldi A, Maier D, Eißfeldt H, Heuse M. AFL++: Combining Incremental Steps of Fuzzing Research[C]//Proceedings of the 14th USENIX Workshop on Offensive Technologies (WOOT 2020). Berkeley, CA: USENIX Association, 2020.</w:t>
            </w:r>
          </w:p>
          <w:p w14:paraId="23070437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[9] Pham V T, Böhme M, Roychoudhury A. AFLNet: A Greybox Fuzzer for Network Protocols[C]//Proceedings of the 13th IEEE International Conference on Software Testing, Verification and Validation (ICST 2020). IEEE, 2020: 460-465.</w:t>
            </w:r>
          </w:p>
          <w:p w14:paraId="5F396C59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</w:p>
          <w:p w14:paraId="38FE7F47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[10] Antonio Nappa. Fuzzing Against the Machine[M]. 北京: 人民邮电出版社, 2025.</w:t>
            </w:r>
          </w:p>
          <w:p w14:paraId="1665A4AE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[11] James Forshaw. Attacking Network Protocols: A Hacker’s Guide to Capture, Analysis, and Exploitation[M]. 北京: 人民邮电出版社, 2025.</w:t>
            </w:r>
          </w:p>
          <w:p w14:paraId="546B718A">
            <w:pPr>
              <w:ind w:left="105" w:leftChars="50" w:right="105" w:rightChars="50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[12] 华为技术认证: HCNA-WLAN 学习指南[M]. 北京: 人民邮电出版社, 2016.</w:t>
            </w:r>
          </w:p>
          <w:p w14:paraId="5B46D9B6">
            <w:pPr>
              <w:ind w:left="105" w:leftChars="50" w:right="105" w:rightChars="50"/>
              <w:rPr>
                <w:sz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[13] Web 前端 黑客技术解密[M]. 北京: 电子工业出版社, 2013.</w:t>
            </w:r>
            <w:bookmarkStart w:id="0" w:name="_GoBack"/>
            <w:bookmarkEnd w:id="0"/>
          </w:p>
        </w:tc>
      </w:tr>
      <w:tr w14:paraId="082F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5" w:hRule="atLeast"/>
        </w:trPr>
        <w:tc>
          <w:tcPr>
            <w:tcW w:w="4395" w:type="dxa"/>
            <w:gridSpan w:val="2"/>
          </w:tcPr>
          <w:p w14:paraId="5116BFEE">
            <w:pPr>
              <w:ind w:left="105" w:leftChars="50" w:right="105" w:rightChars="50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指导教师签字：</w:t>
            </w:r>
          </w:p>
          <w:p w14:paraId="70CDE067">
            <w:pPr>
              <w:ind w:left="105" w:leftChars="50" w:right="105" w:rightChars="50"/>
              <w:rPr>
                <w:sz w:val="24"/>
              </w:rPr>
            </w:pPr>
            <w:r>
              <w:rPr>
                <w:rFonts w:ascii="宋体" w:hAnsi="宋体" w:cs="宋体"/>
                <w:sz w:val="24"/>
              </w:rPr>
              <w:drawing>
                <wp:inline distT="0" distB="0" distL="114300" distR="114300">
                  <wp:extent cx="1079500" cy="412750"/>
                  <wp:effectExtent l="0" t="0" r="6350" b="6350"/>
                  <wp:docPr id="1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412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6D28B">
            <w:pPr>
              <w:ind w:left="105" w:leftChars="50" w:right="105" w:rightChars="50"/>
              <w:rPr>
                <w:sz w:val="24"/>
              </w:rPr>
            </w:pPr>
            <w:r>
              <w:rPr>
                <w:rFonts w:hint="eastAsia"/>
                <w:sz w:val="24"/>
              </w:rPr>
              <w:t>校外指导教师签字：</w:t>
            </w:r>
          </w:p>
          <w:p w14:paraId="5D67F38A">
            <w:pPr>
              <w:ind w:right="105" w:rightChars="50"/>
              <w:rPr>
                <w:rFonts w:hint="eastAsia"/>
                <w:sz w:val="24"/>
              </w:rPr>
            </w:pPr>
          </w:p>
          <w:p w14:paraId="77F6D530">
            <w:pPr>
              <w:ind w:right="105" w:rightChars="50"/>
              <w:rPr>
                <w:sz w:val="24"/>
              </w:rPr>
            </w:pPr>
          </w:p>
          <w:p w14:paraId="535D8D65">
            <w:pPr>
              <w:ind w:right="105" w:rightChars="50"/>
              <w:rPr>
                <w:sz w:val="24"/>
              </w:rPr>
            </w:pPr>
          </w:p>
          <w:p w14:paraId="05B2F0B0">
            <w:pPr>
              <w:ind w:right="105" w:rightChars="50"/>
              <w:rPr>
                <w:rFonts w:hint="eastAsia"/>
                <w:sz w:val="24"/>
              </w:rPr>
            </w:pPr>
          </w:p>
          <w:p w14:paraId="47063861">
            <w:pPr>
              <w:ind w:left="105" w:leftChars="50" w:right="105" w:rightChars="50" w:firstLine="1440" w:firstLineChars="600"/>
              <w:rPr>
                <w:sz w:val="24"/>
              </w:rPr>
            </w:pPr>
            <w:r>
              <w:rPr>
                <w:rFonts w:hint="eastAsia"/>
                <w:sz w:val="24"/>
              </w:rPr>
              <w:t>2025年12月22日</w:t>
            </w:r>
          </w:p>
        </w:tc>
        <w:tc>
          <w:tcPr>
            <w:tcW w:w="4065" w:type="dxa"/>
            <w:gridSpan w:val="2"/>
          </w:tcPr>
          <w:p w14:paraId="54ADAF2A">
            <w:pPr>
              <w:ind w:left="105" w:leftChars="50" w:right="105" w:rightChars="50"/>
              <w:rPr>
                <w:sz w:val="24"/>
              </w:rPr>
            </w:pPr>
            <w:r>
              <w:rPr>
                <w:rFonts w:hint="eastAsia"/>
                <w:sz w:val="24"/>
              </w:rPr>
              <w:t>学生签字：</w:t>
            </w:r>
          </w:p>
          <w:p w14:paraId="2625B481">
            <w:pPr>
              <w:ind w:right="105" w:rightChars="50"/>
              <w:rPr>
                <w:sz w:val="24"/>
              </w:rPr>
            </w:pPr>
            <w:r>
              <w:rPr>
                <w:rFonts w:hint="eastAsia"/>
                <w:sz w:val="24"/>
              </w:rPr>
              <w:drawing>
                <wp:inline distT="0" distB="0" distL="114300" distR="114300">
                  <wp:extent cx="1072515" cy="546735"/>
                  <wp:effectExtent l="0" t="0" r="13335" b="5715"/>
                  <wp:docPr id="12" name="图片 12" descr="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签名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54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A6EF7">
            <w:pPr>
              <w:ind w:right="105" w:rightChars="50"/>
              <w:rPr>
                <w:sz w:val="24"/>
              </w:rPr>
            </w:pPr>
          </w:p>
          <w:p w14:paraId="4CCFB2C0">
            <w:pPr>
              <w:ind w:right="105" w:rightChars="50"/>
              <w:rPr>
                <w:sz w:val="24"/>
              </w:rPr>
            </w:pPr>
          </w:p>
          <w:p w14:paraId="5709525B">
            <w:pPr>
              <w:ind w:right="105" w:rightChars="50"/>
              <w:rPr>
                <w:sz w:val="24"/>
              </w:rPr>
            </w:pPr>
          </w:p>
          <w:p w14:paraId="1BA94866">
            <w:pPr>
              <w:ind w:right="105" w:rightChars="50"/>
              <w:rPr>
                <w:sz w:val="24"/>
              </w:rPr>
            </w:pPr>
          </w:p>
          <w:p w14:paraId="68A418A1">
            <w:pPr>
              <w:ind w:right="105" w:rightChars="50"/>
              <w:rPr>
                <w:rFonts w:hint="eastAsia"/>
                <w:sz w:val="24"/>
              </w:rPr>
            </w:pPr>
          </w:p>
          <w:p w14:paraId="484B34A4">
            <w:pPr>
              <w:ind w:right="105" w:rightChars="50" w:firstLine="1560" w:firstLineChars="650"/>
              <w:rPr>
                <w:sz w:val="24"/>
              </w:rPr>
            </w:pPr>
            <w:r>
              <w:rPr>
                <w:rFonts w:hint="eastAsia"/>
                <w:sz w:val="24"/>
              </w:rPr>
              <w:t>2025年12月22日</w:t>
            </w:r>
          </w:p>
        </w:tc>
      </w:tr>
    </w:tbl>
    <w:p w14:paraId="19679226">
      <w:pPr>
        <w:spacing w:line="360" w:lineRule="auto"/>
        <w:rPr>
          <w:szCs w:val="21"/>
        </w:rPr>
      </w:pPr>
      <w:r>
        <w:rPr>
          <w:rFonts w:hint="eastAsia"/>
          <w:szCs w:val="21"/>
        </w:rPr>
        <w:t>说明：</w:t>
      </w:r>
    </w:p>
    <w:p w14:paraId="355E8DDA">
      <w:pPr>
        <w:rPr>
          <w:szCs w:val="21"/>
        </w:rPr>
      </w:pPr>
      <w:r>
        <w:rPr>
          <w:rFonts w:hint="eastAsia"/>
          <w:szCs w:val="21"/>
        </w:rPr>
        <w:t>1．任务书由指导教师填写，一般于第七学期（五年制第九学期）第20周前下达给学生。</w:t>
      </w:r>
    </w:p>
    <w:p w14:paraId="107A96A0">
      <w:pPr>
        <w:rPr>
          <w:szCs w:val="21"/>
        </w:rPr>
      </w:pPr>
      <w:r>
        <w:rPr>
          <w:rFonts w:hint="eastAsia"/>
          <w:szCs w:val="21"/>
        </w:rPr>
        <w:t>2．学生签字时间就是任务下达时间（学生接受任务时间）。</w:t>
      </w:r>
      <w:r>
        <w:rPr>
          <w:rFonts w:hint="eastAsia"/>
          <w:szCs w:val="21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1CA"/>
    <w:rsid w:val="000E7997"/>
    <w:rsid w:val="00166ADF"/>
    <w:rsid w:val="001B187C"/>
    <w:rsid w:val="002B6B2C"/>
    <w:rsid w:val="008162EB"/>
    <w:rsid w:val="00A32790"/>
    <w:rsid w:val="00AF58AB"/>
    <w:rsid w:val="00C23182"/>
    <w:rsid w:val="00C3382B"/>
    <w:rsid w:val="00C371CA"/>
    <w:rsid w:val="055E6A0D"/>
    <w:rsid w:val="0B9050A8"/>
    <w:rsid w:val="25626093"/>
    <w:rsid w:val="27F83605"/>
    <w:rsid w:val="28BE0004"/>
    <w:rsid w:val="2E2D491C"/>
    <w:rsid w:val="2F8B11DE"/>
    <w:rsid w:val="31B279B6"/>
    <w:rsid w:val="334E6346"/>
    <w:rsid w:val="33B5678D"/>
    <w:rsid w:val="3C6B7DBD"/>
    <w:rsid w:val="46325030"/>
    <w:rsid w:val="4BF27F8C"/>
    <w:rsid w:val="4CC94487"/>
    <w:rsid w:val="4F2C2FBB"/>
    <w:rsid w:val="52851792"/>
    <w:rsid w:val="52A20830"/>
    <w:rsid w:val="53F1596F"/>
    <w:rsid w:val="55121CA6"/>
    <w:rsid w:val="59CA295C"/>
    <w:rsid w:val="5A84688F"/>
    <w:rsid w:val="5EFF17CF"/>
    <w:rsid w:val="60D77F53"/>
    <w:rsid w:val="60DE4C95"/>
    <w:rsid w:val="60E944A9"/>
    <w:rsid w:val="62EC0DA3"/>
    <w:rsid w:val="680A054B"/>
    <w:rsid w:val="69D24B27"/>
    <w:rsid w:val="7E2D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3">
    <w:name w:val="Normal (Web)"/>
    <w:basedOn w:val="1"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1313</Words>
  <Characters>2886</Characters>
  <Lines>99</Lines>
  <Paragraphs>67</Paragraphs>
  <TotalTime>17</TotalTime>
  <ScaleCrop>false</ScaleCrop>
  <LinksUpToDate>false</LinksUpToDate>
  <CharactersWithSpaces>3220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2025-12-22T01:40:00Z</dcterms:created>
  <dc:creator>xuanming</dc:creator>
  <cp:lastModifiedBy>佑铭</cp:lastModifiedBy>
  <dcterms:modified xsi:type="dcterms:W3CDTF">2025-12-22T08:02:25Z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eyJoZGlkIjoiYmQ4YTk0OTZlM2QzZDU3NTE4NTJkZGY1MGM2ZjBmZmQiLCJ1c2VySWQiOiIxMzI0NzI4MDc2In0=</vt:lpwstr>
  </property>
  <property fmtid="{D5CDD505-2E9C-101B-9397-08002B2CF9AE}" pid="4" name="ICV">
    <vt:lpwstr>8FCA049786D442D9B14B39C3E241C2B0_12</vt:lpwstr>
  </property>
</Properties>
</file>