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F9A82" w14:textId="77777777" w:rsidR="00426206" w:rsidRPr="00F06963" w:rsidRDefault="00426206" w:rsidP="00426206">
      <w:pPr>
        <w:pStyle w:val="2"/>
        <w:jc w:val="center"/>
        <w:rPr>
          <w:rFonts w:ascii="宋体" w:eastAsia="宋体" w:hAnsi="宋体" w:hint="eastAsia"/>
          <w:b/>
          <w:bCs/>
          <w:color w:val="auto"/>
          <w:sz w:val="30"/>
          <w:szCs w:val="30"/>
        </w:rPr>
      </w:pPr>
      <w:r w:rsidRPr="00F06963">
        <w:rPr>
          <w:rFonts w:ascii="宋体" w:eastAsia="宋体" w:hAnsi="宋体"/>
          <w:color w:val="auto"/>
          <w:sz w:val="30"/>
          <w:szCs w:val="30"/>
        </w:rPr>
        <w:t>第六章 实验结果与分析</w:t>
      </w:r>
    </w:p>
    <w:p w14:paraId="146903B3" w14:textId="77777777" w:rsidR="00426206" w:rsidRDefault="00426206" w:rsidP="00426206">
      <w:pPr>
        <w:rPr>
          <w:rFonts w:ascii="宋体" w:eastAsia="宋体" w:hAnsi="宋体" w:hint="eastAsia"/>
          <w:sz w:val="24"/>
          <w:szCs w:val="24"/>
        </w:rPr>
      </w:pPr>
    </w:p>
    <w:p w14:paraId="6599B163" w14:textId="7A1F0E00" w:rsidR="00426206" w:rsidRPr="00A42AA3" w:rsidRDefault="00426206" w:rsidP="00426206">
      <w:pPr>
        <w:rPr>
          <w:rFonts w:ascii="宋体" w:eastAsia="宋体" w:hAnsi="宋体" w:hint="eastAsia"/>
          <w:b/>
          <w:bCs/>
          <w:sz w:val="24"/>
          <w:szCs w:val="24"/>
        </w:rPr>
      </w:pPr>
      <w:r w:rsidRPr="00A42AA3">
        <w:rPr>
          <w:rFonts w:ascii="宋体" w:eastAsia="宋体" w:hAnsi="宋体"/>
          <w:sz w:val="24"/>
          <w:szCs w:val="24"/>
        </w:rPr>
        <w:t>6.1 帕累托前沿对比分析</w:t>
      </w:r>
    </w:p>
    <w:p w14:paraId="54372005" w14:textId="77777777" w:rsidR="00426206" w:rsidRPr="00A42AA3" w:rsidRDefault="00426206" w:rsidP="00426206">
      <w:pPr>
        <w:rPr>
          <w:rFonts w:ascii="宋体" w:eastAsia="宋体" w:hAnsi="宋体" w:hint="eastAsia"/>
          <w:sz w:val="24"/>
          <w:szCs w:val="24"/>
        </w:rPr>
      </w:pPr>
      <w:r w:rsidRPr="00A42AA3">
        <w:rPr>
          <w:rFonts w:ascii="宋体" w:eastAsia="宋体" w:hAnsi="宋体"/>
          <w:sz w:val="24"/>
          <w:szCs w:val="24"/>
        </w:rPr>
        <w:t>我们预期，将本文提出的完整框架（NSGA-II + EHVI + Warm Start）与各基线模型找到的非支配解集绘制在“平台收益-乘客等待时间”二维坐标系后，会观察到：</w:t>
      </w:r>
    </w:p>
    <w:p w14:paraId="61D43FB9" w14:textId="77777777" w:rsidR="00426206" w:rsidRPr="00A42AA3" w:rsidRDefault="00426206" w:rsidP="00426206">
      <w:pPr>
        <w:numPr>
          <w:ilvl w:val="0"/>
          <w:numId w:val="1"/>
        </w:numPr>
        <w:rPr>
          <w:rFonts w:ascii="宋体" w:eastAsia="宋体" w:hAnsi="宋体" w:hint="eastAsia"/>
          <w:sz w:val="24"/>
          <w:szCs w:val="24"/>
        </w:rPr>
      </w:pPr>
      <w:r w:rsidRPr="00A42AA3">
        <w:rPr>
          <w:rFonts w:ascii="宋体" w:eastAsia="宋体" w:hAnsi="宋体"/>
          <w:sz w:val="24"/>
          <w:szCs w:val="24"/>
        </w:rPr>
        <w:t>本文方法（红色） 的帕累托前沿在整体上最优，它将“包住”所有其他方法的前沿。</w:t>
      </w:r>
    </w:p>
    <w:p w14:paraId="269D893B" w14:textId="77777777" w:rsidR="00426206" w:rsidRPr="00A42AA3" w:rsidRDefault="00426206" w:rsidP="00426206">
      <w:pPr>
        <w:numPr>
          <w:ilvl w:val="0"/>
          <w:numId w:val="1"/>
        </w:numPr>
        <w:rPr>
          <w:rFonts w:ascii="宋体" w:eastAsia="宋体" w:hAnsi="宋体" w:hint="eastAsia"/>
          <w:sz w:val="24"/>
          <w:szCs w:val="24"/>
        </w:rPr>
      </w:pPr>
      <w:r w:rsidRPr="00A42AA3">
        <w:rPr>
          <w:rFonts w:ascii="宋体" w:eastAsia="宋体" w:hAnsi="宋体"/>
          <w:sz w:val="24"/>
          <w:szCs w:val="24"/>
        </w:rPr>
        <w:t>仅使用热启动（蓝色） 的方法性能次之。</w:t>
      </w:r>
    </w:p>
    <w:p w14:paraId="04A65AEE" w14:textId="77777777" w:rsidR="00426206" w:rsidRPr="00A42AA3" w:rsidRDefault="00426206" w:rsidP="00426206">
      <w:pPr>
        <w:numPr>
          <w:ilvl w:val="0"/>
          <w:numId w:val="1"/>
        </w:numPr>
        <w:rPr>
          <w:rFonts w:ascii="宋体" w:eastAsia="宋体" w:hAnsi="宋体" w:hint="eastAsia"/>
          <w:sz w:val="24"/>
          <w:szCs w:val="24"/>
        </w:rPr>
      </w:pPr>
      <w:r w:rsidRPr="00A42AA3">
        <w:rPr>
          <w:rFonts w:ascii="宋体" w:eastAsia="宋体" w:hAnsi="宋体"/>
          <w:sz w:val="24"/>
          <w:szCs w:val="24"/>
        </w:rPr>
        <w:t>使用UCB（紫色） 的方法可能由于采集函数对多目标的处理不够精细，性能不如EHVI。</w:t>
      </w:r>
    </w:p>
    <w:p w14:paraId="7CFAFC4D" w14:textId="77777777" w:rsidR="00426206" w:rsidRPr="00A42AA3" w:rsidRDefault="00426206" w:rsidP="00426206">
      <w:pPr>
        <w:numPr>
          <w:ilvl w:val="0"/>
          <w:numId w:val="1"/>
        </w:numPr>
        <w:rPr>
          <w:rFonts w:ascii="宋体" w:eastAsia="宋体" w:hAnsi="宋体" w:hint="eastAsia"/>
          <w:sz w:val="24"/>
          <w:szCs w:val="24"/>
        </w:rPr>
      </w:pPr>
      <w:r w:rsidRPr="00A42AA3">
        <w:rPr>
          <w:rFonts w:ascii="宋体" w:eastAsia="宋体" w:hAnsi="宋体"/>
          <w:sz w:val="24"/>
          <w:szCs w:val="24"/>
        </w:rPr>
        <w:t>不使用热启动（绿色） 的方法由于评估效率极低，</w:t>
      </w:r>
      <w:proofErr w:type="gramStart"/>
      <w:r w:rsidRPr="00A42AA3">
        <w:rPr>
          <w:rFonts w:ascii="宋体" w:eastAsia="宋体" w:hAnsi="宋体"/>
          <w:sz w:val="24"/>
          <w:szCs w:val="24"/>
        </w:rPr>
        <w:t>其帕累</w:t>
      </w:r>
      <w:proofErr w:type="gramEnd"/>
      <w:r w:rsidRPr="00A42AA3">
        <w:rPr>
          <w:rFonts w:ascii="宋体" w:eastAsia="宋体" w:hAnsi="宋体"/>
          <w:sz w:val="24"/>
          <w:szCs w:val="24"/>
        </w:rPr>
        <w:t>托前沿质量最差。</w:t>
      </w:r>
    </w:p>
    <w:p w14:paraId="43AE1DBE" w14:textId="77777777" w:rsidR="00426206" w:rsidRPr="00A42AA3" w:rsidRDefault="00426206" w:rsidP="00426206">
      <w:pPr>
        <w:numPr>
          <w:ilvl w:val="0"/>
          <w:numId w:val="1"/>
        </w:numPr>
        <w:rPr>
          <w:rFonts w:ascii="宋体" w:eastAsia="宋体" w:hAnsi="宋体" w:hint="eastAsia"/>
          <w:sz w:val="24"/>
          <w:szCs w:val="24"/>
        </w:rPr>
      </w:pPr>
      <w:r w:rsidRPr="00A42AA3">
        <w:rPr>
          <w:rFonts w:ascii="宋体" w:eastAsia="宋体" w:hAnsi="宋体"/>
          <w:sz w:val="24"/>
          <w:szCs w:val="24"/>
        </w:rPr>
        <w:t>随机搜索（灰色） 的解稀疏地分布在空间中，质量远劣于进化方法。</w:t>
      </w:r>
    </w:p>
    <w:p w14:paraId="09B7E0F6" w14:textId="77777777" w:rsidR="00426206" w:rsidRPr="00A42AA3" w:rsidRDefault="00426206" w:rsidP="00426206">
      <w:pPr>
        <w:rPr>
          <w:rFonts w:ascii="宋体" w:eastAsia="宋体" w:hAnsi="宋体" w:hint="eastAsia"/>
          <w:sz w:val="24"/>
          <w:szCs w:val="24"/>
        </w:rPr>
      </w:pPr>
      <w:r w:rsidRPr="00A42AA3">
        <w:rPr>
          <w:rFonts w:ascii="宋体" w:eastAsia="宋体" w:hAnsi="宋体"/>
          <w:sz w:val="24"/>
          <w:szCs w:val="24"/>
        </w:rPr>
        <w:t>最终得到的帕累托前沿将为平台决策者提供有价值的权衡选项：例如，可以选择前沿上“收益优先”的策略，或是“体验优先”的策略，或是两者之间的一个平衡点。</w:t>
      </w:r>
    </w:p>
    <w:p w14:paraId="6E3DF629" w14:textId="77777777" w:rsidR="00426206" w:rsidRPr="00A42AA3" w:rsidRDefault="00426206" w:rsidP="00426206">
      <w:pPr>
        <w:rPr>
          <w:rFonts w:ascii="宋体" w:eastAsia="宋体" w:hAnsi="宋体" w:hint="eastAsia"/>
          <w:b/>
          <w:bCs/>
          <w:sz w:val="24"/>
          <w:szCs w:val="24"/>
        </w:rPr>
      </w:pPr>
      <w:r w:rsidRPr="00A42AA3">
        <w:rPr>
          <w:rFonts w:ascii="宋体" w:eastAsia="宋体" w:hAnsi="宋体"/>
          <w:sz w:val="24"/>
          <w:szCs w:val="24"/>
        </w:rPr>
        <w:t>6.2 加速效果与超体积指标分析</w:t>
      </w:r>
    </w:p>
    <w:p w14:paraId="5A1976F5" w14:textId="77777777" w:rsidR="00426206" w:rsidRPr="00A42AA3" w:rsidRDefault="00426206" w:rsidP="00426206">
      <w:pPr>
        <w:numPr>
          <w:ilvl w:val="0"/>
          <w:numId w:val="2"/>
        </w:numPr>
        <w:rPr>
          <w:rFonts w:ascii="宋体" w:eastAsia="宋体" w:hAnsi="宋体" w:hint="eastAsia"/>
          <w:sz w:val="24"/>
          <w:szCs w:val="24"/>
        </w:rPr>
      </w:pPr>
      <w:r w:rsidRPr="00A42AA3">
        <w:rPr>
          <w:rFonts w:ascii="宋体" w:eastAsia="宋体" w:hAnsi="宋体"/>
          <w:sz w:val="24"/>
          <w:szCs w:val="24"/>
        </w:rPr>
        <w:t>超体积指标：预期的超体积指标统计表将显示，本文方法的HV</w:t>
      </w:r>
      <w:proofErr w:type="gramStart"/>
      <w:r w:rsidRPr="00A42AA3">
        <w:rPr>
          <w:rFonts w:ascii="宋体" w:eastAsia="宋体" w:hAnsi="宋体"/>
          <w:sz w:val="24"/>
          <w:szCs w:val="24"/>
        </w:rPr>
        <w:t>值显著</w:t>
      </w:r>
      <w:proofErr w:type="gramEnd"/>
      <w:r w:rsidRPr="00A42AA3">
        <w:rPr>
          <w:rFonts w:ascii="宋体" w:eastAsia="宋体" w:hAnsi="宋体"/>
          <w:sz w:val="24"/>
          <w:szCs w:val="24"/>
        </w:rPr>
        <w:t>高于所有基线模型 </w:t>
      </w:r>
    </w:p>
    <w:p w14:paraId="1DF57CC8" w14:textId="77777777" w:rsidR="00426206" w:rsidRPr="00A42AA3" w:rsidRDefault="00426206" w:rsidP="00426206">
      <w:pPr>
        <w:rPr>
          <w:rFonts w:ascii="宋体" w:eastAsia="宋体" w:hAnsi="宋体" w:hint="eastAsia"/>
          <w:sz w:val="24"/>
          <w:szCs w:val="24"/>
        </w:rPr>
      </w:pPr>
      <w:r w:rsidRPr="00A42AA3">
        <w:rPr>
          <w:rFonts w:ascii="宋体" w:eastAsia="宋体" w:hAnsi="宋体"/>
          <w:sz w:val="24"/>
          <w:szCs w:val="24"/>
        </w:rPr>
        <w:t> </w:t>
      </w:r>
    </w:p>
    <w:p w14:paraId="6DC0CE15" w14:textId="77777777" w:rsidR="00426206" w:rsidRPr="00A42AA3" w:rsidRDefault="00426206" w:rsidP="00426206">
      <w:pPr>
        <w:rPr>
          <w:rFonts w:ascii="宋体" w:eastAsia="宋体" w:hAnsi="宋体" w:hint="eastAsia"/>
          <w:sz w:val="24"/>
          <w:szCs w:val="24"/>
        </w:rPr>
      </w:pPr>
      <w:r w:rsidRPr="00A42AA3">
        <w:rPr>
          <w:rFonts w:ascii="宋体" w:eastAsia="宋体" w:hAnsi="宋体"/>
          <w:sz w:val="24"/>
          <w:szCs w:val="24"/>
        </w:rPr>
        <w:t> 。这定量地证明了其在寻找高质量、多样化帕累托解集方面的卓越能力 </w:t>
      </w:r>
    </w:p>
    <w:p w14:paraId="18AEFC22" w14:textId="77777777" w:rsidR="00426206" w:rsidRPr="00A42AA3" w:rsidRDefault="00426206" w:rsidP="00426206">
      <w:pPr>
        <w:rPr>
          <w:rFonts w:ascii="宋体" w:eastAsia="宋体" w:hAnsi="宋体" w:hint="eastAsia"/>
          <w:sz w:val="24"/>
          <w:szCs w:val="24"/>
        </w:rPr>
      </w:pPr>
      <w:r w:rsidRPr="00A42AA3">
        <w:rPr>
          <w:rFonts w:ascii="宋体" w:eastAsia="宋体" w:hAnsi="宋体"/>
          <w:sz w:val="24"/>
          <w:szCs w:val="24"/>
        </w:rPr>
        <w:t> </w:t>
      </w:r>
    </w:p>
    <w:p w14:paraId="0C0B6B9D" w14:textId="77777777" w:rsidR="00426206" w:rsidRPr="00A42AA3" w:rsidRDefault="00426206" w:rsidP="00426206">
      <w:pPr>
        <w:rPr>
          <w:rFonts w:ascii="宋体" w:eastAsia="宋体" w:hAnsi="宋体" w:hint="eastAsia"/>
          <w:sz w:val="24"/>
          <w:szCs w:val="24"/>
        </w:rPr>
      </w:pPr>
      <w:r w:rsidRPr="00A42AA3">
        <w:rPr>
          <w:rFonts w:ascii="宋体" w:eastAsia="宋体" w:hAnsi="宋体"/>
          <w:sz w:val="24"/>
          <w:szCs w:val="24"/>
        </w:rPr>
        <w:t> 。</w:t>
      </w:r>
    </w:p>
    <w:p w14:paraId="2D2C0F8C" w14:textId="77777777" w:rsidR="00426206" w:rsidRPr="00A42AA3" w:rsidRDefault="00426206" w:rsidP="00426206">
      <w:pPr>
        <w:numPr>
          <w:ilvl w:val="0"/>
          <w:numId w:val="2"/>
        </w:numPr>
        <w:rPr>
          <w:rFonts w:ascii="宋体" w:eastAsia="宋体" w:hAnsi="宋体" w:hint="eastAsia"/>
          <w:sz w:val="24"/>
          <w:szCs w:val="24"/>
        </w:rPr>
      </w:pPr>
      <w:r w:rsidRPr="00A42AA3">
        <w:rPr>
          <w:rFonts w:ascii="宋体" w:eastAsia="宋体" w:hAnsi="宋体"/>
          <w:sz w:val="24"/>
          <w:szCs w:val="24"/>
        </w:rPr>
        <w:t>加速效果：通过对比评估单个策略所需的计算时间，可以预期“热启动”机制能带来数倍乃至一个数量级的加速效果，证明了其巨大价值 </w:t>
      </w:r>
    </w:p>
    <w:p w14:paraId="0E5D3977" w14:textId="77777777" w:rsidR="00426206" w:rsidRPr="00A42AA3" w:rsidRDefault="00426206" w:rsidP="00426206">
      <w:pPr>
        <w:rPr>
          <w:rFonts w:ascii="宋体" w:eastAsia="宋体" w:hAnsi="宋体" w:hint="eastAsia"/>
          <w:sz w:val="24"/>
          <w:szCs w:val="24"/>
        </w:rPr>
      </w:pPr>
      <w:r w:rsidRPr="00A42AA3">
        <w:rPr>
          <w:rFonts w:ascii="宋体" w:eastAsia="宋体" w:hAnsi="宋体"/>
          <w:sz w:val="24"/>
          <w:szCs w:val="24"/>
        </w:rPr>
        <w:t> </w:t>
      </w:r>
    </w:p>
    <w:p w14:paraId="29724846" w14:textId="77777777" w:rsidR="00426206" w:rsidRPr="00A42AA3" w:rsidRDefault="00426206" w:rsidP="00426206">
      <w:pPr>
        <w:rPr>
          <w:rFonts w:ascii="宋体" w:eastAsia="宋体" w:hAnsi="宋体" w:hint="eastAsia"/>
          <w:sz w:val="24"/>
          <w:szCs w:val="24"/>
        </w:rPr>
      </w:pPr>
      <w:r w:rsidRPr="00A42AA3">
        <w:rPr>
          <w:rFonts w:ascii="宋体" w:eastAsia="宋体" w:hAnsi="宋体"/>
          <w:sz w:val="24"/>
          <w:szCs w:val="24"/>
        </w:rPr>
        <w:t> 。</w:t>
      </w:r>
    </w:p>
    <w:p w14:paraId="204B6831" w14:textId="77777777" w:rsidR="00426206" w:rsidRPr="00A42AA3" w:rsidRDefault="00426206" w:rsidP="00426206">
      <w:pPr>
        <w:rPr>
          <w:rFonts w:ascii="宋体" w:eastAsia="宋体" w:hAnsi="宋体" w:hint="eastAsia"/>
          <w:b/>
          <w:bCs/>
          <w:sz w:val="24"/>
          <w:szCs w:val="24"/>
        </w:rPr>
      </w:pPr>
      <w:r w:rsidRPr="00A42AA3">
        <w:rPr>
          <w:rFonts w:ascii="宋体" w:eastAsia="宋体" w:hAnsi="宋体"/>
          <w:sz w:val="24"/>
          <w:szCs w:val="24"/>
        </w:rPr>
        <w:t>6.3 参数敏感性分析：“拉弗曲线”效应</w:t>
      </w:r>
    </w:p>
    <w:p w14:paraId="07E8F393" w14:textId="77777777" w:rsidR="00426206" w:rsidRPr="00A42AA3" w:rsidRDefault="00426206" w:rsidP="00426206">
      <w:pPr>
        <w:rPr>
          <w:rFonts w:ascii="宋体" w:eastAsia="宋体" w:hAnsi="宋体" w:hint="eastAsia"/>
          <w:sz w:val="24"/>
          <w:szCs w:val="24"/>
        </w:rPr>
      </w:pPr>
      <w:r w:rsidRPr="00A42AA3">
        <w:rPr>
          <w:rFonts w:ascii="宋体" w:eastAsia="宋体" w:hAnsi="宋体"/>
          <w:sz w:val="24"/>
          <w:szCs w:val="24"/>
        </w:rPr>
        <w:t>通过执行第五章设计的参数敏感性分析实验，我们预期会得到以下发现：</w:t>
      </w:r>
    </w:p>
    <w:p w14:paraId="0ED504BB" w14:textId="77777777" w:rsidR="00426206" w:rsidRPr="00A42AA3" w:rsidRDefault="00426206" w:rsidP="00426206">
      <w:pPr>
        <w:numPr>
          <w:ilvl w:val="0"/>
          <w:numId w:val="3"/>
        </w:numPr>
        <w:rPr>
          <w:rFonts w:ascii="宋体" w:eastAsia="宋体" w:hAnsi="宋体" w:hint="eastAsia"/>
          <w:sz w:val="24"/>
          <w:szCs w:val="24"/>
        </w:rPr>
      </w:pPr>
      <w:r w:rsidRPr="00A42AA3">
        <w:rPr>
          <w:rFonts w:ascii="宋体" w:eastAsia="宋体" w:hAnsi="宋体"/>
          <w:sz w:val="24"/>
          <w:szCs w:val="24"/>
        </w:rPr>
        <w:t>可视化“拉弗曲线”：将“平台抽成比例”作为X轴，“平台总收益”作为Y轴绘图，将呈现一条清晰的倒U形曲线 </w:t>
      </w:r>
    </w:p>
    <w:p w14:paraId="1D232180" w14:textId="77777777" w:rsidR="00426206" w:rsidRPr="00A42AA3" w:rsidRDefault="00426206" w:rsidP="00426206">
      <w:pPr>
        <w:rPr>
          <w:rFonts w:ascii="宋体" w:eastAsia="宋体" w:hAnsi="宋体" w:hint="eastAsia"/>
          <w:sz w:val="24"/>
          <w:szCs w:val="24"/>
        </w:rPr>
      </w:pPr>
      <w:r w:rsidRPr="00A42AA3">
        <w:rPr>
          <w:rFonts w:ascii="宋体" w:eastAsia="宋体" w:hAnsi="宋体"/>
          <w:sz w:val="24"/>
          <w:szCs w:val="24"/>
        </w:rPr>
        <w:t> 。</w:t>
      </w:r>
    </w:p>
    <w:p w14:paraId="67C8DB61" w14:textId="77777777" w:rsidR="00426206" w:rsidRPr="00A42AA3" w:rsidRDefault="00426206" w:rsidP="00426206">
      <w:pPr>
        <w:numPr>
          <w:ilvl w:val="1"/>
          <w:numId w:val="3"/>
        </w:numPr>
        <w:rPr>
          <w:rFonts w:ascii="宋体" w:eastAsia="宋体" w:hAnsi="宋体" w:hint="eastAsia"/>
          <w:sz w:val="24"/>
          <w:szCs w:val="24"/>
        </w:rPr>
      </w:pPr>
      <w:r w:rsidRPr="00A42AA3">
        <w:rPr>
          <w:rFonts w:ascii="宋体" w:eastAsia="宋体" w:hAnsi="宋体"/>
          <w:sz w:val="24"/>
          <w:szCs w:val="24"/>
        </w:rPr>
        <w:t>上升段：在抽成比例较低时，提高比例直接增加平台从每单中的获利，总收益随之上升。</w:t>
      </w:r>
    </w:p>
    <w:p w14:paraId="1F94F4B4" w14:textId="77777777" w:rsidR="00426206" w:rsidRPr="00A42AA3" w:rsidRDefault="00426206" w:rsidP="00426206">
      <w:pPr>
        <w:numPr>
          <w:ilvl w:val="1"/>
          <w:numId w:val="3"/>
        </w:numPr>
        <w:rPr>
          <w:rFonts w:ascii="宋体" w:eastAsia="宋体" w:hAnsi="宋体" w:hint="eastAsia"/>
          <w:sz w:val="24"/>
          <w:szCs w:val="24"/>
        </w:rPr>
      </w:pPr>
      <w:r w:rsidRPr="00A42AA3">
        <w:rPr>
          <w:rFonts w:ascii="宋体" w:eastAsia="宋体" w:hAnsi="宋体"/>
          <w:sz w:val="24"/>
          <w:szCs w:val="24"/>
        </w:rPr>
        <w:t>下降段：当抽成比例过高（超过某个临界点）时，会严重打击司机的积极性，导致司机收入下降和大量流失 </w:t>
      </w:r>
    </w:p>
    <w:p w14:paraId="307C566A" w14:textId="77777777" w:rsidR="00426206" w:rsidRPr="00A42AA3" w:rsidRDefault="00426206" w:rsidP="00426206">
      <w:pPr>
        <w:rPr>
          <w:rFonts w:ascii="宋体" w:eastAsia="宋体" w:hAnsi="宋体" w:hint="eastAsia"/>
          <w:sz w:val="24"/>
          <w:szCs w:val="24"/>
        </w:rPr>
      </w:pPr>
      <w:r w:rsidRPr="00A42AA3">
        <w:rPr>
          <w:rFonts w:ascii="宋体" w:eastAsia="宋体" w:hAnsi="宋体"/>
          <w:sz w:val="24"/>
          <w:szCs w:val="24"/>
        </w:rPr>
        <w:t> </w:t>
      </w:r>
    </w:p>
    <w:p w14:paraId="2D0BDCC0" w14:textId="77777777" w:rsidR="00426206" w:rsidRPr="00A42AA3" w:rsidRDefault="00426206" w:rsidP="00426206">
      <w:pPr>
        <w:rPr>
          <w:rFonts w:ascii="宋体" w:eastAsia="宋体" w:hAnsi="宋体" w:hint="eastAsia"/>
          <w:sz w:val="24"/>
          <w:szCs w:val="24"/>
        </w:rPr>
      </w:pPr>
      <w:r w:rsidRPr="00A42AA3">
        <w:rPr>
          <w:rFonts w:ascii="宋体" w:eastAsia="宋体" w:hAnsi="宋体"/>
          <w:sz w:val="24"/>
          <w:szCs w:val="24"/>
        </w:rPr>
        <w:t> 。这使得市场供给减少，订单完成率大幅降低 </w:t>
      </w:r>
    </w:p>
    <w:p w14:paraId="3B208D17" w14:textId="77777777" w:rsidR="00426206" w:rsidRPr="00A42AA3" w:rsidRDefault="00426206" w:rsidP="00426206">
      <w:pPr>
        <w:rPr>
          <w:rFonts w:ascii="宋体" w:eastAsia="宋体" w:hAnsi="宋体" w:hint="eastAsia"/>
          <w:sz w:val="24"/>
          <w:szCs w:val="24"/>
        </w:rPr>
      </w:pPr>
      <w:r w:rsidRPr="00A42AA3">
        <w:rPr>
          <w:rFonts w:ascii="宋体" w:eastAsia="宋体" w:hAnsi="宋体"/>
          <w:sz w:val="24"/>
          <w:szCs w:val="24"/>
        </w:rPr>
        <w:t> 。尽管平台从单笔订单中抽成更多，但由于总的成功订单量（即“税基”）急剧萎缩，最终导致平台总收益不升反降 </w:t>
      </w:r>
    </w:p>
    <w:p w14:paraId="6AD16EF0" w14:textId="77777777" w:rsidR="00426206" w:rsidRPr="00A42AA3" w:rsidRDefault="00426206" w:rsidP="00426206">
      <w:pPr>
        <w:rPr>
          <w:rFonts w:ascii="宋体" w:eastAsia="宋体" w:hAnsi="宋体" w:hint="eastAsia"/>
          <w:sz w:val="24"/>
          <w:szCs w:val="24"/>
        </w:rPr>
      </w:pPr>
      <w:r w:rsidRPr="00A42AA3">
        <w:rPr>
          <w:rFonts w:ascii="宋体" w:eastAsia="宋体" w:hAnsi="宋体"/>
          <w:sz w:val="24"/>
          <w:szCs w:val="24"/>
        </w:rPr>
        <w:t> 。</w:t>
      </w:r>
    </w:p>
    <w:p w14:paraId="7F99E73E" w14:textId="77777777" w:rsidR="00426206" w:rsidRPr="00C428E2" w:rsidRDefault="00426206" w:rsidP="00426206">
      <w:pPr>
        <w:numPr>
          <w:ilvl w:val="0"/>
          <w:numId w:val="3"/>
        </w:numPr>
        <w:rPr>
          <w:rFonts w:ascii="宋体" w:eastAsia="宋体" w:hAnsi="宋体" w:hint="eastAsia"/>
          <w:sz w:val="24"/>
          <w:szCs w:val="24"/>
        </w:rPr>
      </w:pPr>
      <w:r w:rsidRPr="00A42AA3">
        <w:rPr>
          <w:rFonts w:ascii="宋体" w:eastAsia="宋体" w:hAnsi="宋体"/>
          <w:sz w:val="24"/>
          <w:szCs w:val="24"/>
        </w:rPr>
        <w:lastRenderedPageBreak/>
        <w:t>深度洞察：为了解释这一现象，我们将平台总收益、司机总收入和司机留存率三条曲线绘制在同一张图上（使用次坐标轴）。这将直观地揭示：平台收益的拐点与司机留存率的急剧下降点高度相关。这为平台制定合理的、可持续的分成策略提供了强有力的数据支持，避免因追求短期高抽成而损害生态系统的长期健康</w:t>
      </w:r>
      <w:r w:rsidRPr="00C428E2">
        <w:rPr>
          <w:rFonts w:ascii="宋体" w:eastAsia="宋体" w:hAnsi="宋体"/>
          <w:sz w:val="24"/>
          <w:szCs w:val="24"/>
        </w:rPr>
        <w:t>。</w:t>
      </w:r>
    </w:p>
    <w:p w14:paraId="4E4931AE" w14:textId="77777777" w:rsidR="00426206" w:rsidRDefault="00426206" w:rsidP="00426206">
      <w:pPr>
        <w:widowControl/>
        <w:jc w:val="left"/>
        <w:rPr>
          <w:rFonts w:ascii="宋体" w:eastAsia="宋体" w:hAnsi="宋体" w:hint="eastAsia"/>
          <w:sz w:val="24"/>
          <w:szCs w:val="24"/>
        </w:rPr>
      </w:pPr>
    </w:p>
    <w:p w14:paraId="6903B94C" w14:textId="77777777" w:rsidR="00426206" w:rsidRDefault="00426206" w:rsidP="00426206">
      <w:pPr>
        <w:widowControl/>
        <w:jc w:val="left"/>
        <w:rPr>
          <w:rFonts w:ascii="宋体" w:eastAsia="宋体" w:hAnsi="宋体" w:hint="eastAsia"/>
          <w:sz w:val="24"/>
          <w:szCs w:val="24"/>
        </w:rPr>
      </w:pPr>
    </w:p>
    <w:p w14:paraId="4EE897B0" w14:textId="77777777" w:rsidR="00426206" w:rsidRPr="00C428E2" w:rsidRDefault="00426206" w:rsidP="00426206">
      <w:pPr>
        <w:widowControl/>
        <w:numPr>
          <w:ilvl w:val="0"/>
          <w:numId w:val="4"/>
        </w:numPr>
        <w:jc w:val="left"/>
        <w:rPr>
          <w:rFonts w:ascii="宋体" w:eastAsia="宋体" w:hAnsi="宋体" w:hint="eastAsia"/>
          <w:sz w:val="24"/>
          <w:szCs w:val="24"/>
        </w:rPr>
      </w:pPr>
      <w:r w:rsidRPr="00C428E2">
        <w:rPr>
          <w:rFonts w:ascii="宋体" w:eastAsia="宋体" w:hAnsi="宋体"/>
          <w:sz w:val="24"/>
          <w:szCs w:val="24"/>
        </w:rPr>
        <w:t>实验与结果分析 (Experiments and Analysis) 6.1 算法性能验证 6.1.1 热启动加速效果验证 对比“有热启动”和“无热启动”的SA-MOEA算法在单次真实评估（下层MARL收敛）上的平均耗时。预期结果将表明，热启动策略能将仿真时间从数小时缩短到分钟级别，从而大幅提升整体算法的可行性。</w:t>
      </w:r>
    </w:p>
    <w:p w14:paraId="4C10172C" w14:textId="77777777" w:rsidR="00426206" w:rsidRPr="00C428E2" w:rsidRDefault="00426206" w:rsidP="00426206">
      <w:pPr>
        <w:widowControl/>
        <w:jc w:val="left"/>
        <w:rPr>
          <w:rFonts w:ascii="宋体" w:eastAsia="宋体" w:hAnsi="宋体" w:hint="eastAsia"/>
          <w:sz w:val="24"/>
          <w:szCs w:val="24"/>
        </w:rPr>
      </w:pPr>
      <w:r w:rsidRPr="00C428E2">
        <w:rPr>
          <w:rFonts w:ascii="宋体" w:eastAsia="宋体" w:hAnsi="宋体"/>
          <w:sz w:val="24"/>
          <w:szCs w:val="24"/>
        </w:rPr>
        <w:t>6.1.2 整体算法搜索效率对比 通过绘制超体积（HV）随昂贵评估次数增加的变化曲线，对比本文提出的 SA-MOEA 算法与随机搜索、无热启动SA-MOEA等基准。预期 SA-MOEA 能用更少的评估次数获得更高的HV值，证明其搜索效率的优越性。</w:t>
      </w:r>
    </w:p>
    <w:p w14:paraId="2055E3D4" w14:textId="77777777" w:rsidR="00426206" w:rsidRPr="00C428E2" w:rsidRDefault="00426206" w:rsidP="00426206">
      <w:pPr>
        <w:widowControl/>
        <w:jc w:val="left"/>
        <w:rPr>
          <w:rFonts w:ascii="宋体" w:eastAsia="宋体" w:hAnsi="宋体" w:hint="eastAsia"/>
          <w:sz w:val="24"/>
          <w:szCs w:val="24"/>
        </w:rPr>
      </w:pPr>
      <w:r w:rsidRPr="00C428E2">
        <w:rPr>
          <w:rFonts w:ascii="宋体" w:eastAsia="宋体" w:hAnsi="宋体"/>
          <w:sz w:val="24"/>
          <w:szCs w:val="24"/>
        </w:rPr>
        <w:t>6.2 Pareto 前沿分析与策略权衡 6.2.1 Pareto 最优解集可视化 将算法找到的Pareto最优解集在二维或三维目标空间中进行可视化。例如，绘制“平台利润 vs. 乘客等待时间”的散点图，形成一条清晰的Pareto前沿曲线。</w:t>
      </w:r>
    </w:p>
    <w:p w14:paraId="1A1204A0" w14:textId="77777777" w:rsidR="00426206" w:rsidRPr="00C428E2" w:rsidRDefault="00426206" w:rsidP="00426206">
      <w:pPr>
        <w:widowControl/>
        <w:jc w:val="left"/>
        <w:rPr>
          <w:rFonts w:ascii="宋体" w:eastAsia="宋体" w:hAnsi="宋体" w:hint="eastAsia"/>
          <w:sz w:val="24"/>
          <w:szCs w:val="24"/>
        </w:rPr>
      </w:pPr>
      <w:r w:rsidRPr="00C428E2">
        <w:rPr>
          <w:rFonts w:ascii="宋体" w:eastAsia="宋体" w:hAnsi="宋体"/>
          <w:sz w:val="24"/>
          <w:szCs w:val="24"/>
        </w:rPr>
        <w:t>6.2.2 “拐点”策略识别 定义：Pareto前沿上的“拐点”（Knee Point）是指在该点附近，一个目标的</w:t>
      </w:r>
      <w:proofErr w:type="gramStart"/>
      <w:r w:rsidRPr="00C428E2">
        <w:rPr>
          <w:rFonts w:ascii="宋体" w:eastAsia="宋体" w:hAnsi="宋体"/>
          <w:sz w:val="24"/>
          <w:szCs w:val="24"/>
        </w:rPr>
        <w:t>微小改善</w:t>
      </w:r>
      <w:proofErr w:type="gramEnd"/>
      <w:r w:rsidRPr="00C428E2">
        <w:rPr>
          <w:rFonts w:ascii="宋体" w:eastAsia="宋体" w:hAnsi="宋体"/>
          <w:sz w:val="24"/>
          <w:szCs w:val="24"/>
        </w:rPr>
        <w:t>会导致另一个目标急剧恶化，通常被认为是“性价比”最高的策略 。</w:t>
      </w:r>
    </w:p>
    <w:p w14:paraId="404821FA" w14:textId="77777777" w:rsidR="00426206" w:rsidRPr="00C428E2" w:rsidRDefault="00426206" w:rsidP="00426206">
      <w:pPr>
        <w:widowControl/>
        <w:jc w:val="left"/>
        <w:rPr>
          <w:rFonts w:ascii="宋体" w:eastAsia="宋体" w:hAnsi="宋体" w:hint="eastAsia"/>
          <w:sz w:val="24"/>
          <w:szCs w:val="24"/>
        </w:rPr>
      </w:pPr>
      <w:r w:rsidRPr="00C428E2">
        <w:rPr>
          <w:rFonts w:ascii="宋体" w:eastAsia="宋体" w:hAnsi="宋体"/>
          <w:sz w:val="24"/>
          <w:szCs w:val="24"/>
        </w:rPr>
        <w:t>识别方法：可通过计算每个解到连接前沿两个极端点的直线的距离来找到距离最远的点，该点即为拐点。</w:t>
      </w:r>
    </w:p>
    <w:p w14:paraId="2A4C41F9" w14:textId="77777777" w:rsidR="00426206" w:rsidRPr="00C428E2" w:rsidRDefault="00426206" w:rsidP="00426206">
      <w:pPr>
        <w:widowControl/>
        <w:jc w:val="left"/>
        <w:rPr>
          <w:rFonts w:ascii="宋体" w:eastAsia="宋体" w:hAnsi="宋体" w:hint="eastAsia"/>
          <w:sz w:val="24"/>
          <w:szCs w:val="24"/>
        </w:rPr>
      </w:pPr>
      <w:r w:rsidRPr="00C428E2">
        <w:rPr>
          <w:rFonts w:ascii="宋体" w:eastAsia="宋体" w:hAnsi="宋体"/>
          <w:sz w:val="24"/>
          <w:szCs w:val="24"/>
        </w:rPr>
        <w:t>管理意义：“拐点”策略代表了在平台利润和服务质量之间取得良好平衡的运营方案，通常是平台在稳定运营期的首选。</w:t>
      </w:r>
    </w:p>
    <w:p w14:paraId="4A8BB23E" w14:textId="77777777" w:rsidR="00426206" w:rsidRPr="00C428E2" w:rsidRDefault="00426206" w:rsidP="00426206">
      <w:pPr>
        <w:widowControl/>
        <w:jc w:val="left"/>
        <w:rPr>
          <w:rFonts w:ascii="宋体" w:eastAsia="宋体" w:hAnsi="宋体" w:hint="eastAsia"/>
          <w:sz w:val="24"/>
          <w:szCs w:val="24"/>
        </w:rPr>
      </w:pPr>
      <w:r w:rsidRPr="00C428E2">
        <w:rPr>
          <w:rFonts w:ascii="宋体" w:eastAsia="宋体" w:hAnsi="宋体"/>
          <w:sz w:val="24"/>
          <w:szCs w:val="24"/>
        </w:rPr>
        <w:t>6.2.3 边际替代率分析 定义：边际替代率（Marginal Rate of Substitution, MRS）衡量了在Pareto前沿上，为了改善一个目标（如减少1分钟等待时间），需要在另一个目标上做出多大的牺牲（如降低多少平台收益），其数值等于前沿在该点斜率的绝对值。</w:t>
      </w:r>
    </w:p>
    <w:p w14:paraId="6C41C49F" w14:textId="77777777" w:rsidR="00426206" w:rsidRPr="00C428E2" w:rsidRDefault="00426206" w:rsidP="00426206">
      <w:pPr>
        <w:widowControl/>
        <w:jc w:val="left"/>
        <w:rPr>
          <w:rFonts w:ascii="宋体" w:eastAsia="宋体" w:hAnsi="宋体" w:hint="eastAsia"/>
          <w:sz w:val="24"/>
          <w:szCs w:val="24"/>
        </w:rPr>
      </w:pPr>
      <w:r w:rsidRPr="00C428E2">
        <w:rPr>
          <w:rFonts w:ascii="宋体" w:eastAsia="宋体" w:hAnsi="宋体"/>
          <w:sz w:val="24"/>
          <w:szCs w:val="24"/>
        </w:rPr>
        <w:t>计算方法：通过计算Pareto前沿上相邻两个</w:t>
      </w:r>
      <w:proofErr w:type="gramStart"/>
      <w:r w:rsidRPr="00C428E2">
        <w:rPr>
          <w:rFonts w:ascii="宋体" w:eastAsia="宋体" w:hAnsi="宋体"/>
          <w:sz w:val="24"/>
          <w:szCs w:val="24"/>
        </w:rPr>
        <w:t>解之间</w:t>
      </w:r>
      <w:proofErr w:type="gramEnd"/>
      <w:r w:rsidRPr="00C428E2">
        <w:rPr>
          <w:rFonts w:ascii="宋体" w:eastAsia="宋体" w:hAnsi="宋体"/>
          <w:sz w:val="24"/>
          <w:szCs w:val="24"/>
        </w:rPr>
        <w:t>目标值的变化率 |Δ(平台收益) / Δ(乘客等待时间)| 来近似估算。</w:t>
      </w:r>
    </w:p>
    <w:p w14:paraId="3220E845" w14:textId="77777777" w:rsidR="00426206" w:rsidRPr="00C428E2" w:rsidRDefault="00426206" w:rsidP="00426206">
      <w:pPr>
        <w:widowControl/>
        <w:jc w:val="left"/>
        <w:rPr>
          <w:rFonts w:ascii="宋体" w:eastAsia="宋体" w:hAnsi="宋体" w:hint="eastAsia"/>
          <w:sz w:val="24"/>
          <w:szCs w:val="24"/>
        </w:rPr>
      </w:pPr>
      <w:r w:rsidRPr="00C428E2">
        <w:rPr>
          <w:rFonts w:ascii="宋体" w:eastAsia="宋体" w:hAnsi="宋体"/>
          <w:sz w:val="24"/>
          <w:szCs w:val="24"/>
        </w:rPr>
        <w:t>管理意义：MRS为决策者提供了量化的权衡依据。例如，MRS很大的区域意味着牺牲少量利润就能显著提升用户体验，适合市场扩张期；MRS很小的区域则反之，适合盈利期。</w:t>
      </w:r>
    </w:p>
    <w:p w14:paraId="337B771C" w14:textId="77777777" w:rsidR="00426206" w:rsidRPr="00C428E2" w:rsidRDefault="00426206" w:rsidP="00426206">
      <w:pPr>
        <w:widowControl/>
        <w:jc w:val="left"/>
        <w:rPr>
          <w:rFonts w:ascii="宋体" w:eastAsia="宋体" w:hAnsi="宋体" w:hint="eastAsia"/>
          <w:sz w:val="24"/>
          <w:szCs w:val="24"/>
        </w:rPr>
      </w:pPr>
      <w:r w:rsidRPr="00C428E2">
        <w:rPr>
          <w:rFonts w:ascii="宋体" w:eastAsia="宋体" w:hAnsi="宋体"/>
          <w:sz w:val="24"/>
          <w:szCs w:val="24"/>
        </w:rPr>
        <w:t>6.3 关键参数敏感性分析 分析司机数量 </w:t>
      </w:r>
      <m:oMath>
        <m:r>
          <w:rPr>
            <w:rFonts w:ascii="Cambria Math" w:eastAsia="宋体" w:hAnsi="Cambria Math"/>
            <w:sz w:val="24"/>
            <w:szCs w:val="24"/>
          </w:rPr>
          <m:t>N</m:t>
        </m:r>
      </m:oMath>
      <w:r w:rsidRPr="00C428E2">
        <w:rPr>
          <w:rFonts w:ascii="宋体" w:eastAsia="宋体" w:hAnsi="宋体"/>
          <w:sz w:val="24"/>
          <w:szCs w:val="24"/>
        </w:rPr>
        <w:t> 和单位距离成本对Pareto前沿的影响。例如，当司机运营成本（油价）上升时，整个Pareto前沿可能会向左下方移动，意味着在所有策略下，平台能实现的最大利润和最优服务质量都会下降。</w:t>
      </w:r>
    </w:p>
    <w:p w14:paraId="2295310F" w14:textId="77777777" w:rsidR="00426206" w:rsidRPr="00C428E2" w:rsidRDefault="00426206" w:rsidP="00426206">
      <w:pPr>
        <w:widowControl/>
        <w:jc w:val="left"/>
        <w:rPr>
          <w:rFonts w:ascii="宋体" w:eastAsia="宋体" w:hAnsi="宋体" w:hint="eastAsia"/>
          <w:sz w:val="24"/>
          <w:szCs w:val="24"/>
        </w:rPr>
      </w:pPr>
      <w:r w:rsidRPr="00C428E2">
        <w:rPr>
          <w:rFonts w:ascii="宋体" w:eastAsia="宋体" w:hAnsi="宋体"/>
          <w:sz w:val="24"/>
          <w:szCs w:val="24"/>
        </w:rPr>
        <w:t>6.4 实验结果讨论与管理启示 从“单点最优”到“权衡决策”：本研究的核心产出是一个揭示了各种可能性和代价的Pareto前沿。这为平台决策者提供了一个强大的决策支持工具。</w:t>
      </w:r>
    </w:p>
    <w:p w14:paraId="5087D5A7" w14:textId="77777777" w:rsidR="00426206" w:rsidRPr="00C428E2" w:rsidRDefault="00426206" w:rsidP="00426206">
      <w:pPr>
        <w:widowControl/>
        <w:jc w:val="left"/>
        <w:rPr>
          <w:rFonts w:ascii="宋体" w:eastAsia="宋体" w:hAnsi="宋体" w:hint="eastAsia"/>
          <w:sz w:val="24"/>
          <w:szCs w:val="24"/>
        </w:rPr>
      </w:pPr>
      <w:r w:rsidRPr="00C428E2">
        <w:rPr>
          <w:rFonts w:ascii="宋体" w:eastAsia="宋体" w:hAnsi="宋体"/>
          <w:sz w:val="24"/>
          <w:szCs w:val="24"/>
        </w:rPr>
        <w:t>分阶段的动态运营策略：</w:t>
      </w:r>
    </w:p>
    <w:p w14:paraId="061C5345" w14:textId="77777777" w:rsidR="00426206" w:rsidRPr="00C428E2" w:rsidRDefault="00426206" w:rsidP="00426206">
      <w:pPr>
        <w:widowControl/>
        <w:jc w:val="left"/>
        <w:rPr>
          <w:rFonts w:ascii="宋体" w:eastAsia="宋体" w:hAnsi="宋体" w:hint="eastAsia"/>
          <w:sz w:val="24"/>
          <w:szCs w:val="24"/>
        </w:rPr>
      </w:pPr>
      <w:r w:rsidRPr="00C428E2">
        <w:rPr>
          <w:rFonts w:ascii="宋体" w:eastAsia="宋体" w:hAnsi="宋体"/>
          <w:sz w:val="24"/>
          <w:szCs w:val="24"/>
        </w:rPr>
        <w:lastRenderedPageBreak/>
        <w:t>市场扩张期：决策者应选择Pareto前沿上MRS值较大的区域，即偏向优化用户体验（低等待时间）的策略，即使这意味着较低的平台利润。此举旨在快速获取用户、扩大市场份额。</w:t>
      </w:r>
    </w:p>
    <w:p w14:paraId="07B32B40" w14:textId="77777777" w:rsidR="00426206" w:rsidRPr="00C428E2" w:rsidRDefault="00426206" w:rsidP="00426206">
      <w:pPr>
        <w:widowControl/>
        <w:jc w:val="left"/>
        <w:rPr>
          <w:rFonts w:ascii="宋体" w:eastAsia="宋体" w:hAnsi="宋体" w:hint="eastAsia"/>
          <w:sz w:val="24"/>
          <w:szCs w:val="24"/>
        </w:rPr>
      </w:pPr>
      <w:r w:rsidRPr="00C428E2">
        <w:rPr>
          <w:rFonts w:ascii="宋体" w:eastAsia="宋体" w:hAnsi="宋体"/>
          <w:sz w:val="24"/>
          <w:szCs w:val="24"/>
        </w:rPr>
        <w:t>盈利期/成熟期：决策者应向“拐点”策略或其附近区域转移。这些策略在利润和服务水平之间取得了良好平衡，有助于向市场证明其盈利能力，同时维持稳定的服务质量。</w:t>
      </w:r>
    </w:p>
    <w:p w14:paraId="7F8EFE07" w14:textId="77777777" w:rsidR="00426206" w:rsidRPr="00C428E2" w:rsidRDefault="00426206" w:rsidP="00426206">
      <w:pPr>
        <w:widowControl/>
        <w:jc w:val="left"/>
        <w:rPr>
          <w:rFonts w:ascii="宋体" w:eastAsia="宋体" w:hAnsi="宋体" w:hint="eastAsia"/>
          <w:sz w:val="24"/>
          <w:szCs w:val="24"/>
        </w:rPr>
      </w:pPr>
      <w:r w:rsidRPr="00C428E2">
        <w:rPr>
          <w:rFonts w:ascii="宋体" w:eastAsia="宋体" w:hAnsi="宋体"/>
          <w:sz w:val="24"/>
          <w:szCs w:val="24"/>
        </w:rPr>
        <w:t>智能策略的价值：通过科学的博弈模型和高效的优化算法，平台可以设计出更智能的策略，不是强制管理司机，而是通过价格信号引导司机自发地实现系统效率的优化，在多个目标之间找到理想的平衡点。</w:t>
      </w:r>
    </w:p>
    <w:p w14:paraId="2BB45332" w14:textId="77777777" w:rsidR="00426206" w:rsidRPr="00C428E2" w:rsidRDefault="00426206" w:rsidP="00426206">
      <w:pPr>
        <w:widowControl/>
        <w:jc w:val="left"/>
        <w:rPr>
          <w:rFonts w:ascii="宋体" w:eastAsia="宋体" w:hAnsi="宋体" w:hint="eastAsia"/>
          <w:sz w:val="24"/>
          <w:szCs w:val="24"/>
        </w:rPr>
      </w:pPr>
      <w:r w:rsidRPr="00C428E2">
        <w:rPr>
          <w:rFonts w:ascii="宋体" w:eastAsia="宋体" w:hAnsi="宋体"/>
          <w:sz w:val="24"/>
          <w:szCs w:val="24"/>
        </w:rPr>
        <w:t>执行摘要 (Executive Summary) 本研究旨在解决</w:t>
      </w:r>
      <w:proofErr w:type="gramStart"/>
      <w:r w:rsidRPr="00C428E2">
        <w:rPr>
          <w:rFonts w:ascii="宋体" w:eastAsia="宋体" w:hAnsi="宋体"/>
          <w:sz w:val="24"/>
          <w:szCs w:val="24"/>
        </w:rPr>
        <w:t>网约车平台</w:t>
      </w:r>
      <w:proofErr w:type="gramEnd"/>
      <w:r w:rsidRPr="00C428E2">
        <w:rPr>
          <w:rFonts w:ascii="宋体" w:eastAsia="宋体" w:hAnsi="宋体"/>
          <w:sz w:val="24"/>
          <w:szCs w:val="24"/>
        </w:rPr>
        <w:t>如何在多个运营目标（如平台利润、服务质量）之间进行权衡并制定最优策略的核心问题。通过引入博弈论框架，本文将平台与司机的互动关系抽象为一个双层 Stackelberg 博弈模型。</w:t>
      </w:r>
    </w:p>
    <w:p w14:paraId="3FE87A5C" w14:textId="77777777" w:rsidR="00426206" w:rsidRPr="00C428E2" w:rsidRDefault="00426206" w:rsidP="00426206">
      <w:pPr>
        <w:widowControl/>
        <w:jc w:val="left"/>
        <w:rPr>
          <w:rFonts w:ascii="宋体" w:eastAsia="宋体" w:hAnsi="宋体" w:hint="eastAsia"/>
          <w:sz w:val="24"/>
          <w:szCs w:val="24"/>
        </w:rPr>
      </w:pPr>
      <w:r w:rsidRPr="00C428E2">
        <w:rPr>
          <w:rFonts w:ascii="宋体" w:eastAsia="宋体" w:hAnsi="宋体"/>
          <w:sz w:val="24"/>
          <w:szCs w:val="24"/>
        </w:rPr>
        <w:t>在该模型中，</w:t>
      </w:r>
      <w:proofErr w:type="gramStart"/>
      <w:r w:rsidRPr="00C428E2">
        <w:rPr>
          <w:rFonts w:ascii="宋体" w:eastAsia="宋体" w:hAnsi="宋体"/>
          <w:sz w:val="24"/>
          <w:szCs w:val="24"/>
        </w:rPr>
        <w:t>网约车平台</w:t>
      </w:r>
      <w:proofErr w:type="gramEnd"/>
      <w:r w:rsidRPr="00C428E2">
        <w:rPr>
          <w:rFonts w:ascii="宋体" w:eastAsia="宋体" w:hAnsi="宋体"/>
          <w:sz w:val="24"/>
          <w:szCs w:val="24"/>
        </w:rPr>
        <w:t>作为上层领导者，其决策目标是实现多目标优化（例如，最大化平台总利润、最小化乘客等待时间）。与传统模型不同，本研究将广大的</w:t>
      </w:r>
      <w:proofErr w:type="gramStart"/>
      <w:r w:rsidRPr="00C428E2">
        <w:rPr>
          <w:rFonts w:ascii="宋体" w:eastAsia="宋体" w:hAnsi="宋体"/>
          <w:sz w:val="24"/>
          <w:szCs w:val="24"/>
        </w:rPr>
        <w:t>网约车司机</w:t>
      </w:r>
      <w:proofErr w:type="gramEnd"/>
      <w:r w:rsidRPr="00C428E2">
        <w:rPr>
          <w:rFonts w:ascii="宋体" w:eastAsia="宋体" w:hAnsi="宋体"/>
          <w:sz w:val="24"/>
          <w:szCs w:val="24"/>
        </w:rPr>
        <w:t>（下层跟随者）建模为一群理性的、自利的强化学习智能体。每个司机在观察到平台的运营策略后，以最大化个人长期净收入为目标，通过学习来形成一套复杂的决策策略，包括接/拒订单、</w:t>
      </w:r>
      <w:proofErr w:type="gramStart"/>
      <w:r w:rsidRPr="00C428E2">
        <w:rPr>
          <w:rFonts w:ascii="宋体" w:eastAsia="宋体" w:hAnsi="宋体"/>
          <w:sz w:val="24"/>
          <w:szCs w:val="24"/>
        </w:rPr>
        <w:t>空驶寻单和</w:t>
      </w:r>
      <w:proofErr w:type="gramEnd"/>
      <w:r w:rsidRPr="00C428E2">
        <w:rPr>
          <w:rFonts w:ascii="宋体" w:eastAsia="宋体" w:hAnsi="宋体"/>
          <w:sz w:val="24"/>
          <w:szCs w:val="24"/>
        </w:rPr>
        <w:t>工作时</w:t>
      </w:r>
      <w:proofErr w:type="gramStart"/>
      <w:r w:rsidRPr="00C428E2">
        <w:rPr>
          <w:rFonts w:ascii="宋体" w:eastAsia="宋体" w:hAnsi="宋体"/>
          <w:sz w:val="24"/>
          <w:szCs w:val="24"/>
        </w:rPr>
        <w:t>长选择</w:t>
      </w:r>
      <w:proofErr w:type="gramEnd"/>
      <w:r w:rsidRPr="00C428E2">
        <w:rPr>
          <w:rFonts w:ascii="宋体" w:eastAsia="宋体" w:hAnsi="宋体"/>
          <w:sz w:val="24"/>
          <w:szCs w:val="24"/>
        </w:rPr>
        <w:t>这种层级决策结构与精细化的个体行为建模，精准地反映了现实世界中平台与司机之间的复杂互动关系。此外，仿真环境中的乘客需求被建模为对平台策略（价格、等待时间）动态响应的，从而更真实地模拟了市场需求波动与流失。</w:t>
      </w:r>
    </w:p>
    <w:p w14:paraId="54AAE30D" w14:textId="77777777" w:rsidR="00426206" w:rsidRPr="00C428E2" w:rsidRDefault="00426206" w:rsidP="00426206">
      <w:pPr>
        <w:widowControl/>
        <w:jc w:val="left"/>
        <w:rPr>
          <w:rFonts w:ascii="宋体" w:eastAsia="宋体" w:hAnsi="宋体" w:hint="eastAsia"/>
          <w:sz w:val="24"/>
          <w:szCs w:val="24"/>
        </w:rPr>
      </w:pPr>
      <w:r w:rsidRPr="00C428E2">
        <w:rPr>
          <w:rFonts w:ascii="宋体" w:eastAsia="宋体" w:hAnsi="宋体"/>
          <w:sz w:val="24"/>
          <w:szCs w:val="24"/>
        </w:rPr>
        <w:t>求解这一双层博弈模型面临的核心挑战是其巨大的计算成本，因为每次评估平台策略都需要进行一次耗时极长的多智能体强化学习（MARL）仿真。为解决此“昂贵”优化问题，我们设计并实现了一种基于代理模型辅助的高效多目标演化算法（SA-MOEA）。该算法利用高斯过程（GP）构建廉价的代理模型来替代绝大多数真实仿真，并结合NSGA-II演化算法进行快速搜索。通过**预期超体积改善（EHVI）**这一先进的加点准则，算法能够智能地决定何时调用昂贵的真实仿真。</w:t>
      </w:r>
    </w:p>
    <w:p w14:paraId="3AD55C70" w14:textId="77777777" w:rsidR="00426206" w:rsidRPr="00C428E2" w:rsidRDefault="00426206" w:rsidP="00426206">
      <w:pPr>
        <w:widowControl/>
        <w:jc w:val="left"/>
        <w:rPr>
          <w:rFonts w:ascii="宋体" w:eastAsia="宋体" w:hAnsi="宋体" w:hint="eastAsia"/>
          <w:sz w:val="24"/>
          <w:szCs w:val="24"/>
        </w:rPr>
      </w:pPr>
      <w:r w:rsidRPr="00C428E2">
        <w:rPr>
          <w:rFonts w:ascii="宋体" w:eastAsia="宋体" w:hAnsi="宋体"/>
          <w:sz w:val="24"/>
          <w:szCs w:val="24"/>
        </w:rPr>
        <w:t>为了从根本上解决单次真实评估耗时过长这一瓶颈，本研究进一步创新性地引入了基于迁移学习的“热启动”加速策略。该策略通过“构建知识库 → 相似性检索 → 权重加载”的流程，复用历史上已收敛的强化学习模型，从而将新策略下的仿真收敛时间从数小时级缩短至分钟级，极大地提升了整个优化框架的实用性。</w:t>
      </w:r>
    </w:p>
    <w:p w14:paraId="2648120D" w14:textId="77777777" w:rsidR="00426206" w:rsidRPr="00C428E2" w:rsidRDefault="00426206" w:rsidP="00426206">
      <w:pPr>
        <w:widowControl/>
        <w:jc w:val="left"/>
        <w:rPr>
          <w:rFonts w:ascii="宋体" w:eastAsia="宋体" w:hAnsi="宋体" w:hint="eastAsia"/>
          <w:sz w:val="24"/>
          <w:szCs w:val="24"/>
        </w:rPr>
      </w:pPr>
      <w:r w:rsidRPr="00C428E2">
        <w:rPr>
          <w:rFonts w:ascii="宋体" w:eastAsia="宋体" w:hAnsi="宋体"/>
          <w:sz w:val="24"/>
          <w:szCs w:val="24"/>
        </w:rPr>
        <w:t>通过在高度真实感的仿真平台上进行的大量实验表明：</w:t>
      </w:r>
    </w:p>
    <w:p w14:paraId="35E93CA3" w14:textId="77777777" w:rsidR="00426206" w:rsidRPr="00C428E2" w:rsidRDefault="00426206" w:rsidP="00426206">
      <w:pPr>
        <w:widowControl/>
        <w:jc w:val="left"/>
        <w:rPr>
          <w:rFonts w:ascii="宋体" w:eastAsia="宋体" w:hAnsi="宋体" w:hint="eastAsia"/>
          <w:sz w:val="24"/>
          <w:szCs w:val="24"/>
        </w:rPr>
      </w:pPr>
      <w:r w:rsidRPr="00C428E2">
        <w:rPr>
          <w:rFonts w:ascii="宋体" w:eastAsia="宋体" w:hAnsi="宋体"/>
          <w:sz w:val="24"/>
          <w:szCs w:val="24"/>
        </w:rPr>
        <w:t>算法高效性：与基准算法相比，所提出的集成了热启动的SA-MOEA能够用显著更少的计算资源（即更少的昂贵仿真次数和更短的单次仿真时间）找到质量更高、分布更广的Pareto最优解集，这通过**超体积（Hypervolume）**指标得到了量化验证。</w:t>
      </w:r>
    </w:p>
    <w:p w14:paraId="4FC810BB" w14:textId="77777777" w:rsidR="00426206" w:rsidRPr="00C428E2" w:rsidRDefault="00426206" w:rsidP="00426206">
      <w:pPr>
        <w:widowControl/>
        <w:jc w:val="left"/>
        <w:rPr>
          <w:rFonts w:ascii="宋体" w:eastAsia="宋体" w:hAnsi="宋体" w:hint="eastAsia"/>
          <w:sz w:val="24"/>
          <w:szCs w:val="24"/>
        </w:rPr>
      </w:pPr>
      <w:r w:rsidRPr="00C428E2">
        <w:rPr>
          <w:rFonts w:ascii="宋体" w:eastAsia="宋体" w:hAnsi="宋体"/>
          <w:sz w:val="24"/>
          <w:szCs w:val="24"/>
        </w:rPr>
        <w:t>策略权衡洞察：本研究的核心产出是一个清晰的Pareto前沿，它量化并可视化了平台在“利润”与“服务质量”等关键目标之间的权衡关系。通过分析前沿上的**“拐点”策略和边际替代率（MRS）**，可以精确揭示不同策略选择的利弊。</w:t>
      </w:r>
    </w:p>
    <w:p w14:paraId="4936B5C4" w14:textId="77777777" w:rsidR="00426206" w:rsidRPr="00C428E2" w:rsidRDefault="00426206" w:rsidP="00426206">
      <w:pPr>
        <w:widowControl/>
        <w:jc w:val="left"/>
        <w:rPr>
          <w:rFonts w:ascii="宋体" w:eastAsia="宋体" w:hAnsi="宋体" w:hint="eastAsia"/>
          <w:sz w:val="24"/>
          <w:szCs w:val="24"/>
        </w:rPr>
      </w:pPr>
      <w:r w:rsidRPr="00C428E2">
        <w:rPr>
          <w:rFonts w:ascii="宋体" w:eastAsia="宋体" w:hAnsi="宋体"/>
          <w:sz w:val="24"/>
          <w:szCs w:val="24"/>
        </w:rPr>
        <w:t>管理价值：研究结论为平台提供了一个动态的决策支持工具，而非一个固定的“最优答案”。平台管理者可以根据不同时期的战略重点（如市场扩张期侧重</w:t>
      </w:r>
      <w:r w:rsidRPr="00C428E2">
        <w:rPr>
          <w:rFonts w:ascii="宋体" w:eastAsia="宋体" w:hAnsi="宋体"/>
          <w:sz w:val="24"/>
          <w:szCs w:val="24"/>
        </w:rPr>
        <w:lastRenderedPageBreak/>
        <w:t>服务，盈利期侧重利润），从Pareto前沿上选择最符合当前需求的策略组合。这证实了将司机视为理性博弈参与方，并运用先进优化工具来探索策略空间，是构建健康、可持续商业生态的关键路径。</w:t>
      </w:r>
    </w:p>
    <w:p w14:paraId="52E80641" w14:textId="77777777" w:rsidR="00426206" w:rsidRPr="00C428E2" w:rsidRDefault="00426206" w:rsidP="00426206">
      <w:pPr>
        <w:widowControl/>
        <w:jc w:val="left"/>
        <w:rPr>
          <w:rFonts w:ascii="宋体" w:eastAsia="宋体" w:hAnsi="宋体" w:hint="eastAsia"/>
          <w:sz w:val="24"/>
          <w:szCs w:val="24"/>
        </w:rPr>
      </w:pPr>
      <w:r w:rsidRPr="00C428E2">
        <w:rPr>
          <w:rFonts w:ascii="宋体" w:eastAsia="宋体" w:hAnsi="宋体"/>
          <w:sz w:val="24"/>
          <w:szCs w:val="24"/>
        </w:rPr>
        <w:t>综上所述，本论文的研究成果为</w:t>
      </w:r>
      <w:proofErr w:type="gramStart"/>
      <w:r w:rsidRPr="00C428E2">
        <w:rPr>
          <w:rFonts w:ascii="宋体" w:eastAsia="宋体" w:hAnsi="宋体"/>
          <w:sz w:val="24"/>
          <w:szCs w:val="24"/>
        </w:rPr>
        <w:t>网约车平台</w:t>
      </w:r>
      <w:proofErr w:type="gramEnd"/>
      <w:r w:rsidRPr="00C428E2">
        <w:rPr>
          <w:rFonts w:ascii="宋体" w:eastAsia="宋体" w:hAnsi="宋体"/>
          <w:sz w:val="24"/>
          <w:szCs w:val="24"/>
        </w:rPr>
        <w:t>提供了一套行之有效的、融合了博弈论、人工智能与高效优化算法的策略分析框架，能够帮助平台在复杂的多目标环境中做出科学决策，具有重要的理论价值和现实指导意义。</w:t>
      </w:r>
    </w:p>
    <w:p w14:paraId="2A44D497" w14:textId="77777777" w:rsidR="00426206" w:rsidRDefault="00426206" w:rsidP="00426206">
      <w:pPr>
        <w:widowControl/>
        <w:jc w:val="left"/>
        <w:rPr>
          <w:rFonts w:ascii="宋体" w:eastAsia="宋体" w:hAnsi="宋体" w:hint="eastAsia"/>
          <w:sz w:val="24"/>
          <w:szCs w:val="24"/>
        </w:rPr>
      </w:pPr>
      <w:r>
        <w:rPr>
          <w:rFonts w:ascii="宋体" w:eastAsia="宋体" w:hAnsi="宋体" w:hint="eastAsia"/>
          <w:sz w:val="24"/>
          <w:szCs w:val="24"/>
        </w:rPr>
        <w:br w:type="page"/>
      </w:r>
    </w:p>
    <w:p w14:paraId="17410C39" w14:textId="77777777" w:rsidR="00157247" w:rsidRDefault="00157247" w:rsidP="00426206">
      <w:pPr>
        <w:widowControl/>
        <w:jc w:val="left"/>
        <w:rPr>
          <w:rFonts w:ascii="宋体" w:eastAsia="宋体" w:hAnsi="宋体" w:hint="eastAsia"/>
          <w:sz w:val="24"/>
          <w:szCs w:val="24"/>
        </w:rPr>
      </w:pPr>
    </w:p>
    <w:p w14:paraId="7915D80F" w14:textId="77777777" w:rsidR="00157247" w:rsidRPr="00A42AA3" w:rsidRDefault="00157247" w:rsidP="00157247">
      <w:pPr>
        <w:numPr>
          <w:ilvl w:val="0"/>
          <w:numId w:val="5"/>
        </w:numPr>
        <w:rPr>
          <w:rFonts w:ascii="宋体" w:eastAsia="宋体" w:hAnsi="宋体" w:hint="eastAsia"/>
          <w:sz w:val="24"/>
          <w:szCs w:val="24"/>
        </w:rPr>
      </w:pPr>
      <w:r w:rsidRPr="00A42AA3">
        <w:rPr>
          <w:rFonts w:ascii="宋体" w:eastAsia="宋体" w:hAnsi="宋体"/>
          <w:sz w:val="24"/>
          <w:szCs w:val="24"/>
        </w:rPr>
        <w:t>建立司机动态进出市场的“流失与留存模型”：</w:t>
      </w:r>
      <w:r w:rsidRPr="00A42AA3">
        <w:rPr>
          <w:rFonts w:ascii="宋体" w:eastAsia="宋体" w:hAnsi="宋体"/>
          <w:sz w:val="24"/>
          <w:szCs w:val="24"/>
        </w:rPr>
        <w:br/>
        <w:t>为了进行长期市场均衡分析，必须建立一个反映司机动态进出市场的模型 </w:t>
      </w:r>
    </w:p>
    <w:p w14:paraId="560EAA63" w14:textId="77777777" w:rsidR="00157247" w:rsidRPr="00A42AA3" w:rsidRDefault="00157247" w:rsidP="00157247">
      <w:pPr>
        <w:rPr>
          <w:rFonts w:ascii="宋体" w:eastAsia="宋体" w:hAnsi="宋体" w:hint="eastAsia"/>
          <w:sz w:val="24"/>
          <w:szCs w:val="24"/>
        </w:rPr>
      </w:pPr>
      <w:r w:rsidRPr="00A42AA3">
        <w:rPr>
          <w:rFonts w:ascii="宋体" w:eastAsia="宋体" w:hAnsi="宋体"/>
          <w:sz w:val="24"/>
          <w:szCs w:val="24"/>
        </w:rPr>
        <w:t> 。</w:t>
      </w:r>
    </w:p>
    <w:p w14:paraId="0BAB8A62" w14:textId="77777777" w:rsidR="00157247" w:rsidRPr="00A42AA3" w:rsidRDefault="00157247" w:rsidP="00157247">
      <w:pPr>
        <w:numPr>
          <w:ilvl w:val="1"/>
          <w:numId w:val="5"/>
        </w:numPr>
        <w:rPr>
          <w:rFonts w:ascii="宋体" w:eastAsia="宋体" w:hAnsi="宋体" w:hint="eastAsia"/>
          <w:sz w:val="24"/>
          <w:szCs w:val="24"/>
        </w:rPr>
      </w:pPr>
      <w:r w:rsidRPr="00A42AA3">
        <w:rPr>
          <w:rFonts w:ascii="宋体" w:eastAsia="宋体" w:hAnsi="宋体"/>
          <w:sz w:val="24"/>
          <w:szCs w:val="24"/>
        </w:rPr>
        <w:t>模型设计：我们使用**逻辑回归（Logistic Regression）**模型来量化司机 </w:t>
      </w:r>
      <w:proofErr w:type="spellStart"/>
      <w:r w:rsidRPr="00A42AA3">
        <w:rPr>
          <w:rFonts w:ascii="宋体" w:eastAsia="宋体" w:hAnsi="宋体"/>
          <w:sz w:val="24"/>
          <w:szCs w:val="24"/>
        </w:rPr>
        <w:t>i</w:t>
      </w:r>
      <w:proofErr w:type="spellEnd"/>
      <w:r w:rsidRPr="00A42AA3">
        <w:rPr>
          <w:rFonts w:ascii="宋体" w:eastAsia="宋体" w:hAnsi="宋体"/>
          <w:sz w:val="24"/>
          <w:szCs w:val="24"/>
        </w:rPr>
        <w:t> 在下一周期 t+1 流失的概率 </w:t>
      </w:r>
      <w:proofErr w:type="spellStart"/>
      <w:r w:rsidRPr="00A42AA3">
        <w:rPr>
          <w:rFonts w:ascii="宋体" w:eastAsia="宋体" w:hAnsi="宋体"/>
          <w:sz w:val="24"/>
          <w:szCs w:val="24"/>
        </w:rPr>
        <w:t>P_churn</w:t>
      </w:r>
      <w:proofErr w:type="spellEnd"/>
      <w:r w:rsidRPr="00A42AA3">
        <w:rPr>
          <w:rFonts w:ascii="宋体" w:eastAsia="宋体" w:hAnsi="宋体"/>
          <w:sz w:val="24"/>
          <w:szCs w:val="24"/>
        </w:rPr>
        <w:t>(</w:t>
      </w:r>
      <w:proofErr w:type="spellStart"/>
      <w:r w:rsidRPr="00A42AA3">
        <w:rPr>
          <w:rFonts w:ascii="宋体" w:eastAsia="宋体" w:hAnsi="宋体"/>
          <w:sz w:val="24"/>
          <w:szCs w:val="24"/>
        </w:rPr>
        <w:t>i</w:t>
      </w:r>
      <w:proofErr w:type="spellEnd"/>
      <w:r w:rsidRPr="00A42AA3">
        <w:rPr>
          <w:rFonts w:ascii="宋体" w:eastAsia="宋体" w:hAnsi="宋体"/>
          <w:sz w:val="24"/>
          <w:szCs w:val="24"/>
        </w:rPr>
        <w:t>, t+1)。</w:t>
      </w:r>
      <w:r w:rsidRPr="00A42AA3">
        <w:rPr>
          <w:rFonts w:ascii="宋体" w:eastAsia="宋体" w:hAnsi="宋体"/>
          <w:sz w:val="24"/>
          <w:szCs w:val="24"/>
        </w:rPr>
        <w:br/>
      </w:r>
      <w:proofErr w:type="spellStart"/>
      <w:r w:rsidRPr="00A42AA3">
        <w:rPr>
          <w:rFonts w:ascii="宋体" w:eastAsia="宋体" w:hAnsi="宋体"/>
          <w:sz w:val="24"/>
          <w:szCs w:val="24"/>
        </w:rPr>
        <w:t>P_churn</w:t>
      </w:r>
      <w:proofErr w:type="spellEnd"/>
      <w:r w:rsidRPr="00A42AA3">
        <w:rPr>
          <w:rFonts w:ascii="宋体" w:eastAsia="宋体" w:hAnsi="宋体"/>
          <w:sz w:val="24"/>
          <w:szCs w:val="24"/>
        </w:rPr>
        <w:t xml:space="preserve"> = sigmoid(β</w:t>
      </w:r>
      <w:r w:rsidRPr="00A42AA3">
        <w:rPr>
          <w:rFonts w:ascii="Cambria Math" w:eastAsia="宋体" w:hAnsi="Cambria Math" w:cs="Cambria Math"/>
          <w:sz w:val="24"/>
          <w:szCs w:val="24"/>
        </w:rPr>
        <w:t>₀</w:t>
      </w:r>
      <w:r w:rsidRPr="00A42AA3">
        <w:rPr>
          <w:rFonts w:ascii="宋体" w:eastAsia="宋体" w:hAnsi="宋体"/>
          <w:sz w:val="24"/>
          <w:szCs w:val="24"/>
        </w:rPr>
        <w:t xml:space="preserve"> + </w:t>
      </w:r>
      <w:r w:rsidRPr="00A42AA3">
        <w:rPr>
          <w:rFonts w:ascii="宋体" w:eastAsia="宋体" w:hAnsi="宋体" w:cs="等线" w:hint="eastAsia"/>
          <w:sz w:val="24"/>
          <w:szCs w:val="24"/>
        </w:rPr>
        <w:t>β</w:t>
      </w:r>
      <w:r w:rsidRPr="00A42AA3">
        <w:rPr>
          <w:rFonts w:ascii="Cambria Math" w:eastAsia="宋体" w:hAnsi="Cambria Math" w:cs="Cambria Math"/>
          <w:sz w:val="24"/>
          <w:szCs w:val="24"/>
        </w:rPr>
        <w:t>₁</w:t>
      </w:r>
      <w:r w:rsidRPr="00A42AA3">
        <w:rPr>
          <w:rFonts w:ascii="宋体" w:eastAsia="宋体" w:hAnsi="宋体"/>
          <w:sz w:val="24"/>
          <w:szCs w:val="24"/>
        </w:rPr>
        <w:t>*</w:t>
      </w:r>
      <w:proofErr w:type="spellStart"/>
      <w:r w:rsidRPr="00A42AA3">
        <w:rPr>
          <w:rFonts w:ascii="宋体" w:eastAsia="宋体" w:hAnsi="宋体"/>
          <w:sz w:val="24"/>
          <w:szCs w:val="24"/>
        </w:rPr>
        <w:t>AvgIncome</w:t>
      </w:r>
      <w:proofErr w:type="spellEnd"/>
      <w:r w:rsidRPr="00A42AA3">
        <w:rPr>
          <w:rFonts w:ascii="宋体" w:eastAsia="宋体" w:hAnsi="宋体"/>
          <w:sz w:val="24"/>
          <w:szCs w:val="24"/>
        </w:rPr>
        <w:t xml:space="preserve"> + </w:t>
      </w:r>
      <w:r w:rsidRPr="00A42AA3">
        <w:rPr>
          <w:rFonts w:ascii="宋体" w:eastAsia="宋体" w:hAnsi="宋体" w:cs="等线" w:hint="eastAsia"/>
          <w:sz w:val="24"/>
          <w:szCs w:val="24"/>
        </w:rPr>
        <w:t>β</w:t>
      </w:r>
      <w:r w:rsidRPr="00A42AA3">
        <w:rPr>
          <w:rFonts w:ascii="Cambria Math" w:eastAsia="宋体" w:hAnsi="Cambria Math" w:cs="Cambria Math"/>
          <w:sz w:val="24"/>
          <w:szCs w:val="24"/>
        </w:rPr>
        <w:t>₂</w:t>
      </w:r>
      <w:r w:rsidRPr="00A42AA3">
        <w:rPr>
          <w:rFonts w:ascii="宋体" w:eastAsia="宋体" w:hAnsi="宋体"/>
          <w:sz w:val="24"/>
          <w:szCs w:val="24"/>
        </w:rPr>
        <w:t>*</w:t>
      </w:r>
      <w:proofErr w:type="spellStart"/>
      <w:r w:rsidRPr="00A42AA3">
        <w:rPr>
          <w:rFonts w:ascii="宋体" w:eastAsia="宋体" w:hAnsi="宋体"/>
          <w:sz w:val="24"/>
          <w:szCs w:val="24"/>
        </w:rPr>
        <w:t>StdIncome</w:t>
      </w:r>
      <w:proofErr w:type="spellEnd"/>
      <w:r w:rsidRPr="00A42AA3">
        <w:rPr>
          <w:rFonts w:ascii="宋体" w:eastAsia="宋体" w:hAnsi="宋体"/>
          <w:sz w:val="24"/>
          <w:szCs w:val="24"/>
        </w:rPr>
        <w:t>)</w:t>
      </w:r>
    </w:p>
    <w:p w14:paraId="4EE89317" w14:textId="77777777" w:rsidR="00157247" w:rsidRPr="00A42AA3" w:rsidRDefault="00157247" w:rsidP="00157247">
      <w:pPr>
        <w:numPr>
          <w:ilvl w:val="1"/>
          <w:numId w:val="5"/>
        </w:numPr>
        <w:rPr>
          <w:rFonts w:ascii="宋体" w:eastAsia="宋体" w:hAnsi="宋体" w:hint="eastAsia"/>
          <w:sz w:val="24"/>
          <w:szCs w:val="24"/>
        </w:rPr>
      </w:pPr>
      <w:r w:rsidRPr="00A42AA3">
        <w:rPr>
          <w:rFonts w:ascii="宋体" w:eastAsia="宋体" w:hAnsi="宋体"/>
          <w:sz w:val="24"/>
          <w:szCs w:val="24"/>
        </w:rPr>
        <w:t>关键经济因素：</w:t>
      </w:r>
    </w:p>
    <w:p w14:paraId="4B5FA9C1" w14:textId="77777777" w:rsidR="00157247" w:rsidRPr="00A42AA3" w:rsidRDefault="00157247" w:rsidP="00157247">
      <w:pPr>
        <w:numPr>
          <w:ilvl w:val="2"/>
          <w:numId w:val="5"/>
        </w:numPr>
        <w:rPr>
          <w:rFonts w:ascii="宋体" w:eastAsia="宋体" w:hAnsi="宋体" w:hint="eastAsia"/>
          <w:sz w:val="24"/>
          <w:szCs w:val="24"/>
        </w:rPr>
      </w:pPr>
      <w:r w:rsidRPr="00A42AA3">
        <w:rPr>
          <w:rFonts w:ascii="宋体" w:eastAsia="宋体" w:hAnsi="宋体"/>
          <w:sz w:val="24"/>
          <w:szCs w:val="24"/>
        </w:rPr>
        <w:t>长期平均收入 (</w:t>
      </w:r>
      <w:proofErr w:type="spellStart"/>
      <w:r w:rsidRPr="00A42AA3">
        <w:rPr>
          <w:rFonts w:ascii="宋体" w:eastAsia="宋体" w:hAnsi="宋体"/>
          <w:sz w:val="24"/>
          <w:szCs w:val="24"/>
        </w:rPr>
        <w:t>AvgIncome</w:t>
      </w:r>
      <w:proofErr w:type="spellEnd"/>
      <w:r w:rsidRPr="00A42AA3">
        <w:rPr>
          <w:rFonts w:ascii="宋体" w:eastAsia="宋体" w:hAnsi="宋体"/>
          <w:sz w:val="24"/>
          <w:szCs w:val="24"/>
        </w:rPr>
        <w:t>)：通过计算司机在过去滚动时间窗口（如4周）内的平均</w:t>
      </w:r>
      <w:proofErr w:type="gramStart"/>
      <w:r w:rsidRPr="00A42AA3">
        <w:rPr>
          <w:rFonts w:ascii="宋体" w:eastAsia="宋体" w:hAnsi="宋体"/>
          <w:sz w:val="24"/>
          <w:szCs w:val="24"/>
        </w:rPr>
        <w:t>时薪来衡量</w:t>
      </w:r>
      <w:proofErr w:type="gramEnd"/>
      <w:r w:rsidRPr="00A42AA3">
        <w:rPr>
          <w:rFonts w:ascii="宋体" w:eastAsia="宋体" w:hAnsi="宋体"/>
          <w:sz w:val="24"/>
          <w:szCs w:val="24"/>
        </w:rPr>
        <w:t>，反映其核心收益水平。我们预期其系数 β</w:t>
      </w:r>
      <w:r w:rsidRPr="00A42AA3">
        <w:rPr>
          <w:rFonts w:ascii="Cambria Math" w:eastAsia="宋体" w:hAnsi="Cambria Math" w:cs="Cambria Math"/>
          <w:sz w:val="24"/>
          <w:szCs w:val="24"/>
        </w:rPr>
        <w:t>₁</w:t>
      </w:r>
      <w:r w:rsidRPr="00A42AA3">
        <w:rPr>
          <w:rFonts w:ascii="宋体" w:eastAsia="宋体" w:hAnsi="宋体"/>
          <w:sz w:val="24"/>
          <w:szCs w:val="24"/>
        </w:rPr>
        <w:t xml:space="preserve"> &lt; 0</w:t>
      </w:r>
      <w:r w:rsidRPr="00A42AA3">
        <w:rPr>
          <w:rFonts w:ascii="宋体" w:eastAsia="宋体" w:hAnsi="宋体" w:cs="等线" w:hint="eastAsia"/>
          <w:sz w:val="24"/>
          <w:szCs w:val="24"/>
        </w:rPr>
        <w:t> </w:t>
      </w:r>
    </w:p>
    <w:p w14:paraId="30002722" w14:textId="77777777" w:rsidR="00157247" w:rsidRPr="00A42AA3" w:rsidRDefault="00157247" w:rsidP="00157247">
      <w:pPr>
        <w:rPr>
          <w:rFonts w:ascii="宋体" w:eastAsia="宋体" w:hAnsi="宋体" w:hint="eastAsia"/>
          <w:sz w:val="24"/>
          <w:szCs w:val="24"/>
        </w:rPr>
      </w:pPr>
      <w:r w:rsidRPr="00A42AA3">
        <w:rPr>
          <w:rFonts w:ascii="宋体" w:eastAsia="宋体" w:hAnsi="宋体"/>
          <w:sz w:val="24"/>
          <w:szCs w:val="24"/>
        </w:rPr>
        <w:t> 。</w:t>
      </w:r>
    </w:p>
    <w:p w14:paraId="10EA0AE9" w14:textId="77777777" w:rsidR="00157247" w:rsidRPr="00A42AA3" w:rsidRDefault="00157247" w:rsidP="00157247">
      <w:pPr>
        <w:numPr>
          <w:ilvl w:val="2"/>
          <w:numId w:val="5"/>
        </w:numPr>
        <w:rPr>
          <w:rFonts w:ascii="宋体" w:eastAsia="宋体" w:hAnsi="宋体" w:hint="eastAsia"/>
          <w:sz w:val="24"/>
          <w:szCs w:val="24"/>
        </w:rPr>
      </w:pPr>
      <w:r w:rsidRPr="00A42AA3">
        <w:rPr>
          <w:rFonts w:ascii="宋体" w:eastAsia="宋体" w:hAnsi="宋体"/>
          <w:sz w:val="24"/>
          <w:szCs w:val="24"/>
        </w:rPr>
        <w:t>收入稳定性 (</w:t>
      </w:r>
      <w:proofErr w:type="spellStart"/>
      <w:r w:rsidRPr="00A42AA3">
        <w:rPr>
          <w:rFonts w:ascii="宋体" w:eastAsia="宋体" w:hAnsi="宋体"/>
          <w:sz w:val="24"/>
          <w:szCs w:val="24"/>
        </w:rPr>
        <w:t>StdIncome</w:t>
      </w:r>
      <w:proofErr w:type="spellEnd"/>
      <w:r w:rsidRPr="00A42AA3">
        <w:rPr>
          <w:rFonts w:ascii="宋体" w:eastAsia="宋体" w:hAnsi="宋体"/>
          <w:sz w:val="24"/>
          <w:szCs w:val="24"/>
        </w:rPr>
        <w:t>)：通过计算</w:t>
      </w:r>
      <w:proofErr w:type="gramStart"/>
      <w:r w:rsidRPr="00A42AA3">
        <w:rPr>
          <w:rFonts w:ascii="宋体" w:eastAsia="宋体" w:hAnsi="宋体"/>
          <w:sz w:val="24"/>
          <w:szCs w:val="24"/>
        </w:rPr>
        <w:t>同期时</w:t>
      </w:r>
      <w:proofErr w:type="gramEnd"/>
      <w:r w:rsidRPr="00A42AA3">
        <w:rPr>
          <w:rFonts w:ascii="宋体" w:eastAsia="宋体" w:hAnsi="宋体"/>
          <w:sz w:val="24"/>
          <w:szCs w:val="24"/>
        </w:rPr>
        <w:t>薪的标准差来衡量 </w:t>
      </w:r>
    </w:p>
    <w:p w14:paraId="7DB15206" w14:textId="77777777" w:rsidR="00157247" w:rsidRPr="00A42AA3" w:rsidRDefault="00157247" w:rsidP="00157247">
      <w:pPr>
        <w:rPr>
          <w:rFonts w:ascii="宋体" w:eastAsia="宋体" w:hAnsi="宋体" w:hint="eastAsia"/>
          <w:sz w:val="24"/>
          <w:szCs w:val="24"/>
        </w:rPr>
      </w:pPr>
      <w:r w:rsidRPr="00A42AA3">
        <w:rPr>
          <w:rFonts w:ascii="宋体" w:eastAsia="宋体" w:hAnsi="宋体"/>
          <w:sz w:val="24"/>
          <w:szCs w:val="24"/>
        </w:rPr>
        <w:t> 。高波动性意味着高不确定性，会增加流失倾向，因此我们预期其系数 β</w:t>
      </w:r>
      <w:r w:rsidRPr="00A42AA3">
        <w:rPr>
          <w:rFonts w:ascii="Cambria Math" w:eastAsia="宋体" w:hAnsi="Cambria Math" w:cs="Cambria Math"/>
          <w:sz w:val="24"/>
          <w:szCs w:val="24"/>
        </w:rPr>
        <w:t>₂</w:t>
      </w:r>
      <w:r w:rsidRPr="00A42AA3">
        <w:rPr>
          <w:rFonts w:ascii="宋体" w:eastAsia="宋体" w:hAnsi="宋体"/>
          <w:sz w:val="24"/>
          <w:szCs w:val="24"/>
        </w:rPr>
        <w:t xml:space="preserve"> &gt; 0。</w:t>
      </w:r>
    </w:p>
    <w:p w14:paraId="16A4B807" w14:textId="77777777" w:rsidR="00157247" w:rsidRPr="00A42AA3" w:rsidRDefault="00157247" w:rsidP="00157247">
      <w:pPr>
        <w:numPr>
          <w:ilvl w:val="1"/>
          <w:numId w:val="5"/>
        </w:numPr>
        <w:rPr>
          <w:rFonts w:ascii="宋体" w:eastAsia="宋体" w:hAnsi="宋体" w:hint="eastAsia"/>
          <w:sz w:val="24"/>
          <w:szCs w:val="24"/>
        </w:rPr>
      </w:pPr>
      <w:r w:rsidRPr="00A42AA3">
        <w:rPr>
          <w:rFonts w:ascii="宋体" w:eastAsia="宋体" w:hAnsi="宋体"/>
          <w:sz w:val="24"/>
          <w:szCs w:val="24"/>
        </w:rPr>
        <w:t>模型应用：在每个仿真周期结束时，为每个司机计算其流失概率，并通过伯努利试验决定其是否在下一周期离开平台。同时，可以设定一个新司机进入模型（例如，被市场平均高收入吸引而加入），从而使司机群体规模动态变化 </w:t>
      </w:r>
    </w:p>
    <w:p w14:paraId="56078212" w14:textId="77777777" w:rsidR="00157247" w:rsidRPr="00157247" w:rsidRDefault="00157247" w:rsidP="00426206">
      <w:pPr>
        <w:widowControl/>
        <w:jc w:val="left"/>
        <w:rPr>
          <w:rFonts w:ascii="宋体" w:eastAsia="宋体" w:hAnsi="宋体" w:hint="eastAsia"/>
          <w:sz w:val="24"/>
          <w:szCs w:val="24"/>
        </w:rPr>
      </w:pPr>
    </w:p>
    <w:p w14:paraId="23922AD1" w14:textId="77777777" w:rsidR="00651DBA" w:rsidRPr="00081DDB" w:rsidRDefault="00651DBA" w:rsidP="00651DBA">
      <w:pPr>
        <w:rPr>
          <w:rFonts w:ascii="宋体" w:eastAsia="宋体" w:hAnsi="宋体"/>
          <w:sz w:val="24"/>
          <w:szCs w:val="24"/>
        </w:rPr>
      </w:pPr>
      <w:r w:rsidRPr="00A42AA3">
        <w:rPr>
          <w:rFonts w:ascii="宋体" w:eastAsia="宋体" w:hAnsi="宋体"/>
          <w:sz w:val="24"/>
          <w:szCs w:val="24"/>
        </w:rPr>
        <w:t>5.5 深度分析设计：参数敏感性与“拉弗曲线”效应</w:t>
      </w:r>
    </w:p>
    <w:p w14:paraId="39816AEB" w14:textId="77777777" w:rsidR="00651DBA" w:rsidRPr="00A42AA3" w:rsidRDefault="00651DBA" w:rsidP="00651DBA">
      <w:pPr>
        <w:rPr>
          <w:rFonts w:ascii="宋体" w:eastAsia="宋体" w:hAnsi="宋体"/>
          <w:sz w:val="24"/>
          <w:szCs w:val="24"/>
        </w:rPr>
      </w:pPr>
      <w:r w:rsidRPr="00A42AA3">
        <w:rPr>
          <w:rFonts w:ascii="宋体" w:eastAsia="宋体" w:hAnsi="宋体"/>
          <w:sz w:val="24"/>
          <w:szCs w:val="24"/>
        </w:rPr>
        <w:t>本研究将深入探究“平台抽成比例”（Take Rate）对市场长期均衡的影响，以揭示其“拉弗曲线”效应。</w:t>
      </w:r>
    </w:p>
    <w:p w14:paraId="34EF8ECA" w14:textId="77777777" w:rsidR="00651DBA" w:rsidRPr="00A42AA3" w:rsidRDefault="00651DBA" w:rsidP="00651DBA">
      <w:pPr>
        <w:numPr>
          <w:ilvl w:val="0"/>
          <w:numId w:val="6"/>
        </w:numPr>
        <w:rPr>
          <w:rFonts w:ascii="宋体" w:eastAsia="宋体" w:hAnsi="宋体"/>
          <w:sz w:val="24"/>
          <w:szCs w:val="24"/>
        </w:rPr>
      </w:pPr>
      <w:r w:rsidRPr="00A42AA3">
        <w:rPr>
          <w:rFonts w:ascii="宋体" w:eastAsia="宋体" w:hAnsi="宋体"/>
          <w:sz w:val="24"/>
          <w:szCs w:val="24"/>
        </w:rPr>
        <w:t>实验设计：</w:t>
      </w:r>
    </w:p>
    <w:p w14:paraId="6545B7EB" w14:textId="77777777" w:rsidR="00651DBA" w:rsidRPr="00693B3E" w:rsidRDefault="00651DBA" w:rsidP="00651DBA">
      <w:pPr>
        <w:numPr>
          <w:ilvl w:val="1"/>
          <w:numId w:val="6"/>
        </w:numPr>
        <w:rPr>
          <w:rFonts w:ascii="宋体" w:eastAsia="宋体" w:hAnsi="宋体"/>
          <w:sz w:val="24"/>
          <w:szCs w:val="24"/>
        </w:rPr>
      </w:pPr>
      <w:r w:rsidRPr="00A42AA3">
        <w:rPr>
          <w:rFonts w:ascii="宋体" w:eastAsia="宋体" w:hAnsi="宋体"/>
          <w:sz w:val="24"/>
          <w:szCs w:val="24"/>
        </w:rPr>
        <w:t>参数扫描：将平台抽成比例 r 作为自变量，在一个合理的范围内（如5%到50%）以小步长进行变化</w:t>
      </w:r>
      <w:r w:rsidRPr="00693B3E">
        <w:rPr>
          <w:rFonts w:ascii="宋体" w:eastAsia="宋体" w:hAnsi="宋体"/>
          <w:sz w:val="24"/>
          <w:szCs w:val="24"/>
        </w:rPr>
        <w:t>。</w:t>
      </w:r>
    </w:p>
    <w:p w14:paraId="3EAD98B9" w14:textId="77777777" w:rsidR="00651DBA" w:rsidRPr="00693B3E" w:rsidRDefault="00651DBA" w:rsidP="00651DBA">
      <w:pPr>
        <w:numPr>
          <w:ilvl w:val="1"/>
          <w:numId w:val="6"/>
        </w:numPr>
        <w:rPr>
          <w:rFonts w:ascii="宋体" w:eastAsia="宋体" w:hAnsi="宋体"/>
          <w:sz w:val="24"/>
          <w:szCs w:val="24"/>
        </w:rPr>
      </w:pPr>
      <w:r w:rsidRPr="00A42AA3">
        <w:rPr>
          <w:rFonts w:ascii="宋体" w:eastAsia="宋体" w:hAnsi="宋体"/>
          <w:sz w:val="24"/>
          <w:szCs w:val="24"/>
        </w:rPr>
        <w:t>长期均衡仿真：对于每个抽成比例 r，运行一次包含司机流失与留存模型的长期仿真（多个模拟周），直到市场达到动态均衡（如司机数量稳定</w:t>
      </w:r>
      <w:r w:rsidRPr="00693B3E">
        <w:rPr>
          <w:rFonts w:ascii="宋体" w:eastAsia="宋体" w:hAnsi="宋体"/>
          <w:sz w:val="24"/>
          <w:szCs w:val="24"/>
        </w:rPr>
        <w:t>）。</w:t>
      </w:r>
    </w:p>
    <w:p w14:paraId="24C8CFB2" w14:textId="77777777" w:rsidR="00651DBA" w:rsidRPr="00081DDB" w:rsidRDefault="00651DBA" w:rsidP="00651DBA">
      <w:pPr>
        <w:numPr>
          <w:ilvl w:val="1"/>
          <w:numId w:val="6"/>
        </w:numPr>
        <w:rPr>
          <w:rFonts w:ascii="宋体" w:eastAsia="宋体" w:hAnsi="宋体"/>
          <w:sz w:val="24"/>
          <w:szCs w:val="24"/>
        </w:rPr>
      </w:pPr>
      <w:r w:rsidRPr="00A42AA3">
        <w:rPr>
          <w:rFonts w:ascii="宋体" w:eastAsia="宋体" w:hAnsi="宋体"/>
          <w:sz w:val="24"/>
          <w:szCs w:val="24"/>
        </w:rPr>
        <w:t>记录指标：记录均衡状态下的平台总收益、司机平均时薪、订单完成率和司机留存率等</w:t>
      </w:r>
      <w:r w:rsidRPr="00081DDB">
        <w:rPr>
          <w:rFonts w:ascii="宋体" w:eastAsia="宋体" w:hAnsi="宋体"/>
          <w:sz w:val="24"/>
          <w:szCs w:val="24"/>
        </w:rPr>
        <w:t>。</w:t>
      </w:r>
    </w:p>
    <w:p w14:paraId="46D49503" w14:textId="77777777" w:rsidR="00651DBA" w:rsidRPr="00A42AA3" w:rsidRDefault="00651DBA" w:rsidP="00651DBA">
      <w:pPr>
        <w:numPr>
          <w:ilvl w:val="1"/>
          <w:numId w:val="6"/>
        </w:numPr>
        <w:rPr>
          <w:rFonts w:ascii="宋体" w:eastAsia="宋体" w:hAnsi="宋体"/>
          <w:sz w:val="24"/>
          <w:szCs w:val="24"/>
        </w:rPr>
      </w:pPr>
      <w:r w:rsidRPr="00A42AA3">
        <w:rPr>
          <w:rFonts w:ascii="宋体" w:eastAsia="宋体" w:hAnsi="宋体"/>
          <w:sz w:val="24"/>
          <w:szCs w:val="24"/>
        </w:rPr>
        <w:t>揭示效应：将得到的 (抽成比例, 平台总收益) 数据点绘制成图。如果平台收益随抽成比例的增加呈现先上升后下降的倒U型，则证明了“拉弗曲线”效应的存在 </w:t>
      </w:r>
    </w:p>
    <w:p w14:paraId="64657A84" w14:textId="77777777" w:rsidR="00651DBA" w:rsidRPr="00A42AA3" w:rsidRDefault="00651DBA" w:rsidP="00651DBA">
      <w:pPr>
        <w:rPr>
          <w:rFonts w:ascii="宋体" w:eastAsia="宋体" w:hAnsi="宋体"/>
          <w:sz w:val="24"/>
          <w:szCs w:val="24"/>
        </w:rPr>
      </w:pPr>
      <w:r w:rsidRPr="00A42AA3">
        <w:rPr>
          <w:rFonts w:ascii="宋体" w:eastAsia="宋体" w:hAnsi="宋体"/>
          <w:sz w:val="24"/>
          <w:szCs w:val="24"/>
        </w:rPr>
        <w:t> 。这个反馈闭环的连锁效应如下：提高抽成 r → 司机收入下降 → 触发流失模型，司机数量减少 → 市场供给下降 → 订单完成率降低，乘客等待时间增加 → 平台总订单量（税基）萎缩 → 平台总收益下降。</w:t>
      </w:r>
    </w:p>
    <w:p w14:paraId="10D7BE64" w14:textId="77777777" w:rsidR="0095058F" w:rsidRPr="00651DBA" w:rsidRDefault="0095058F">
      <w:pPr>
        <w:rPr>
          <w:rFonts w:hint="eastAsia"/>
        </w:rPr>
      </w:pPr>
    </w:p>
    <w:sectPr w:rsidR="0095058F" w:rsidRPr="00651DB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45CEE" w14:textId="77777777" w:rsidR="00DD1E94" w:rsidRDefault="00DD1E94" w:rsidP="00426206">
      <w:pPr>
        <w:rPr>
          <w:rFonts w:hint="eastAsia"/>
        </w:rPr>
      </w:pPr>
      <w:r>
        <w:separator/>
      </w:r>
    </w:p>
  </w:endnote>
  <w:endnote w:type="continuationSeparator" w:id="0">
    <w:p w14:paraId="3C80B508" w14:textId="77777777" w:rsidR="00DD1E94" w:rsidRDefault="00DD1E94" w:rsidP="0042620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00462" w14:textId="77777777" w:rsidR="00DD1E94" w:rsidRDefault="00DD1E94" w:rsidP="00426206">
      <w:pPr>
        <w:rPr>
          <w:rFonts w:hint="eastAsia"/>
        </w:rPr>
      </w:pPr>
      <w:r>
        <w:separator/>
      </w:r>
    </w:p>
  </w:footnote>
  <w:footnote w:type="continuationSeparator" w:id="0">
    <w:p w14:paraId="36181169" w14:textId="77777777" w:rsidR="00DD1E94" w:rsidRDefault="00DD1E94" w:rsidP="0042620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7A0C"/>
    <w:multiLevelType w:val="multilevel"/>
    <w:tmpl w:val="C4EA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F93199"/>
    <w:multiLevelType w:val="multilevel"/>
    <w:tmpl w:val="F2EAB0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B00A77"/>
    <w:multiLevelType w:val="multilevel"/>
    <w:tmpl w:val="4EE895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A932659"/>
    <w:multiLevelType w:val="multilevel"/>
    <w:tmpl w:val="DAD6FC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84483A"/>
    <w:multiLevelType w:val="multilevel"/>
    <w:tmpl w:val="18DC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1341E2"/>
    <w:multiLevelType w:val="multilevel"/>
    <w:tmpl w:val="770CA2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0533710">
    <w:abstractNumId w:val="4"/>
  </w:num>
  <w:num w:numId="2" w16cid:durableId="1221749517">
    <w:abstractNumId w:val="0"/>
  </w:num>
  <w:num w:numId="3" w16cid:durableId="1013725146">
    <w:abstractNumId w:val="2"/>
  </w:num>
  <w:num w:numId="4" w16cid:durableId="865798962">
    <w:abstractNumId w:val="3"/>
  </w:num>
  <w:num w:numId="5" w16cid:durableId="34473267">
    <w:abstractNumId w:val="1"/>
  </w:num>
  <w:num w:numId="6" w16cid:durableId="8226222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2E3"/>
    <w:rsid w:val="00157247"/>
    <w:rsid w:val="00233448"/>
    <w:rsid w:val="00426206"/>
    <w:rsid w:val="00651DBA"/>
    <w:rsid w:val="0095058F"/>
    <w:rsid w:val="00A01BC4"/>
    <w:rsid w:val="00A64B79"/>
    <w:rsid w:val="00AF52E3"/>
    <w:rsid w:val="00C82777"/>
    <w:rsid w:val="00DD1E94"/>
    <w:rsid w:val="00FF08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24D5F"/>
  <w15:chartTrackingRefBased/>
  <w15:docId w15:val="{D87999A4-3996-4FFC-A4E1-2EAD1324C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F52E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F52E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F52E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F52E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F52E3"/>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AF52E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F52E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F52E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F52E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F52E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F52E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F52E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F52E3"/>
    <w:rPr>
      <w:rFonts w:cstheme="majorBidi"/>
      <w:color w:val="2F5496" w:themeColor="accent1" w:themeShade="BF"/>
      <w:sz w:val="28"/>
      <w:szCs w:val="28"/>
    </w:rPr>
  </w:style>
  <w:style w:type="character" w:customStyle="1" w:styleId="50">
    <w:name w:val="标题 5 字符"/>
    <w:basedOn w:val="a0"/>
    <w:link w:val="5"/>
    <w:uiPriority w:val="9"/>
    <w:semiHidden/>
    <w:rsid w:val="00AF52E3"/>
    <w:rPr>
      <w:rFonts w:cstheme="majorBidi"/>
      <w:color w:val="2F5496" w:themeColor="accent1" w:themeShade="BF"/>
      <w:sz w:val="24"/>
      <w:szCs w:val="24"/>
    </w:rPr>
  </w:style>
  <w:style w:type="character" w:customStyle="1" w:styleId="60">
    <w:name w:val="标题 6 字符"/>
    <w:basedOn w:val="a0"/>
    <w:link w:val="6"/>
    <w:uiPriority w:val="9"/>
    <w:semiHidden/>
    <w:rsid w:val="00AF52E3"/>
    <w:rPr>
      <w:rFonts w:cstheme="majorBidi"/>
      <w:b/>
      <w:bCs/>
      <w:color w:val="2F5496" w:themeColor="accent1" w:themeShade="BF"/>
    </w:rPr>
  </w:style>
  <w:style w:type="character" w:customStyle="1" w:styleId="70">
    <w:name w:val="标题 7 字符"/>
    <w:basedOn w:val="a0"/>
    <w:link w:val="7"/>
    <w:uiPriority w:val="9"/>
    <w:semiHidden/>
    <w:rsid w:val="00AF52E3"/>
    <w:rPr>
      <w:rFonts w:cstheme="majorBidi"/>
      <w:b/>
      <w:bCs/>
      <w:color w:val="595959" w:themeColor="text1" w:themeTint="A6"/>
    </w:rPr>
  </w:style>
  <w:style w:type="character" w:customStyle="1" w:styleId="80">
    <w:name w:val="标题 8 字符"/>
    <w:basedOn w:val="a0"/>
    <w:link w:val="8"/>
    <w:uiPriority w:val="9"/>
    <w:semiHidden/>
    <w:rsid w:val="00AF52E3"/>
    <w:rPr>
      <w:rFonts w:cstheme="majorBidi"/>
      <w:color w:val="595959" w:themeColor="text1" w:themeTint="A6"/>
    </w:rPr>
  </w:style>
  <w:style w:type="character" w:customStyle="1" w:styleId="90">
    <w:name w:val="标题 9 字符"/>
    <w:basedOn w:val="a0"/>
    <w:link w:val="9"/>
    <w:uiPriority w:val="9"/>
    <w:semiHidden/>
    <w:rsid w:val="00AF52E3"/>
    <w:rPr>
      <w:rFonts w:eastAsiaTheme="majorEastAsia" w:cstheme="majorBidi"/>
      <w:color w:val="595959" w:themeColor="text1" w:themeTint="A6"/>
    </w:rPr>
  </w:style>
  <w:style w:type="paragraph" w:styleId="a3">
    <w:name w:val="Title"/>
    <w:basedOn w:val="a"/>
    <w:next w:val="a"/>
    <w:link w:val="a4"/>
    <w:uiPriority w:val="10"/>
    <w:qFormat/>
    <w:rsid w:val="00AF52E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F52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52E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F52E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52E3"/>
    <w:pPr>
      <w:spacing w:before="160" w:after="160"/>
      <w:jc w:val="center"/>
    </w:pPr>
    <w:rPr>
      <w:i/>
      <w:iCs/>
      <w:color w:val="404040" w:themeColor="text1" w:themeTint="BF"/>
    </w:rPr>
  </w:style>
  <w:style w:type="character" w:customStyle="1" w:styleId="a8">
    <w:name w:val="引用 字符"/>
    <w:basedOn w:val="a0"/>
    <w:link w:val="a7"/>
    <w:uiPriority w:val="29"/>
    <w:rsid w:val="00AF52E3"/>
    <w:rPr>
      <w:i/>
      <w:iCs/>
      <w:color w:val="404040" w:themeColor="text1" w:themeTint="BF"/>
    </w:rPr>
  </w:style>
  <w:style w:type="paragraph" w:styleId="a9">
    <w:name w:val="List Paragraph"/>
    <w:basedOn w:val="a"/>
    <w:uiPriority w:val="34"/>
    <w:qFormat/>
    <w:rsid w:val="00AF52E3"/>
    <w:pPr>
      <w:ind w:left="720"/>
      <w:contextualSpacing/>
    </w:pPr>
  </w:style>
  <w:style w:type="character" w:styleId="aa">
    <w:name w:val="Intense Emphasis"/>
    <w:basedOn w:val="a0"/>
    <w:uiPriority w:val="21"/>
    <w:qFormat/>
    <w:rsid w:val="00AF52E3"/>
    <w:rPr>
      <w:i/>
      <w:iCs/>
      <w:color w:val="2F5496" w:themeColor="accent1" w:themeShade="BF"/>
    </w:rPr>
  </w:style>
  <w:style w:type="paragraph" w:styleId="ab">
    <w:name w:val="Intense Quote"/>
    <w:basedOn w:val="a"/>
    <w:next w:val="a"/>
    <w:link w:val="ac"/>
    <w:uiPriority w:val="30"/>
    <w:qFormat/>
    <w:rsid w:val="00AF52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F52E3"/>
    <w:rPr>
      <w:i/>
      <w:iCs/>
      <w:color w:val="2F5496" w:themeColor="accent1" w:themeShade="BF"/>
    </w:rPr>
  </w:style>
  <w:style w:type="character" w:styleId="ad">
    <w:name w:val="Intense Reference"/>
    <w:basedOn w:val="a0"/>
    <w:uiPriority w:val="32"/>
    <w:qFormat/>
    <w:rsid w:val="00AF52E3"/>
    <w:rPr>
      <w:b/>
      <w:bCs/>
      <w:smallCaps/>
      <w:color w:val="2F5496" w:themeColor="accent1" w:themeShade="BF"/>
      <w:spacing w:val="5"/>
    </w:rPr>
  </w:style>
  <w:style w:type="paragraph" w:styleId="ae">
    <w:name w:val="header"/>
    <w:basedOn w:val="a"/>
    <w:link w:val="af"/>
    <w:uiPriority w:val="99"/>
    <w:unhideWhenUsed/>
    <w:rsid w:val="00426206"/>
    <w:pPr>
      <w:tabs>
        <w:tab w:val="center" w:pos="4153"/>
        <w:tab w:val="right" w:pos="8306"/>
      </w:tabs>
      <w:snapToGrid w:val="0"/>
      <w:jc w:val="center"/>
    </w:pPr>
    <w:rPr>
      <w:sz w:val="18"/>
      <w:szCs w:val="18"/>
    </w:rPr>
  </w:style>
  <w:style w:type="character" w:customStyle="1" w:styleId="af">
    <w:name w:val="页眉 字符"/>
    <w:basedOn w:val="a0"/>
    <w:link w:val="ae"/>
    <w:uiPriority w:val="99"/>
    <w:rsid w:val="00426206"/>
    <w:rPr>
      <w:sz w:val="18"/>
      <w:szCs w:val="18"/>
    </w:rPr>
  </w:style>
  <w:style w:type="paragraph" w:styleId="af0">
    <w:name w:val="footer"/>
    <w:basedOn w:val="a"/>
    <w:link w:val="af1"/>
    <w:uiPriority w:val="99"/>
    <w:unhideWhenUsed/>
    <w:rsid w:val="00426206"/>
    <w:pPr>
      <w:tabs>
        <w:tab w:val="center" w:pos="4153"/>
        <w:tab w:val="right" w:pos="8306"/>
      </w:tabs>
      <w:snapToGrid w:val="0"/>
      <w:jc w:val="left"/>
    </w:pPr>
    <w:rPr>
      <w:sz w:val="18"/>
      <w:szCs w:val="18"/>
    </w:rPr>
  </w:style>
  <w:style w:type="character" w:customStyle="1" w:styleId="af1">
    <w:name w:val="页脚 字符"/>
    <w:basedOn w:val="a0"/>
    <w:link w:val="af0"/>
    <w:uiPriority w:val="99"/>
    <w:rsid w:val="0042620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664</Words>
  <Characters>3789</Characters>
  <Application>Microsoft Office Word</Application>
  <DocSecurity>0</DocSecurity>
  <Lines>31</Lines>
  <Paragraphs>8</Paragraphs>
  <ScaleCrop>false</ScaleCrop>
  <Company/>
  <LinksUpToDate>false</LinksUpToDate>
  <CharactersWithSpaces>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Changlong Sun</dc:creator>
  <cp:keywords/>
  <dc:description/>
  <cp:lastModifiedBy>Changlong Sun</cp:lastModifiedBy>
  <cp:revision>4</cp:revision>
  <dcterms:created xsi:type="dcterms:W3CDTF">2026-01-29T16:22:00Z</dcterms:created>
  <dcterms:modified xsi:type="dcterms:W3CDTF">2026-01-29T16:59:00Z</dcterms:modified>
</cp:coreProperties>
</file>