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6DA4"/>
          <w:sz w:val="22"/>
        </w:rPr>
        <w:t>INFORME DE AUDITORÍA TÉCNICA</w:t>
      </w:r>
    </w:p>
    <w:p>
      <w:pPr>
        <w:spacing w:before="200"/>
        <w:jc w:val="center"/>
      </w:pPr>
      <w:r>
        <w:rPr>
          <w:b/>
          <w:color w:val="1F3B60"/>
          <w:sz w:val="46"/>
        </w:rPr>
        <w:t>Auditoría técnica de la Propuesta de Aumento de Plantilla</w:t>
      </w:r>
    </w:p>
    <w:p>
      <w:pPr>
        <w:spacing w:before="240"/>
        <w:jc w:val="center"/>
      </w:pPr>
      <w:r>
        <w:rPr>
          <w:color w:val="595959"/>
          <w:sz w:val="24"/>
        </w:rPr>
        <w:t>Reestructuración Team Almacén Fábrica — Revisión de planteamiento, datos, aritmética, metodología y riesgos</w:t>
      </w:r>
    </w:p>
    <w:p>
      <w:pPr>
        <w:spacing w:before="600"/>
        <w:jc w:val="center"/>
        <w:pBdr>
          <w:bottom w:val="single" w:sz="8" w:space="4" w:color="2E6DA4"/>
        </w:pBdr>
      </w:pPr>
      <w:r>
        <w:rPr>
          <w:color w:val="595959"/>
          <w:sz w:val="22"/>
        </w:rPr>
        <w:t>26 de agosto de 2026</w:t>
      </w:r>
    </w:p>
    <w:p>
      <w:pPr>
        <w:spacing w:before="520"/>
        <w:jc w:val="center"/>
      </w:pPr>
      <w:r>
        <w:rPr>
          <w:i/>
          <w:color w:val="595959"/>
          <w:sz w:val="20"/>
        </w:rPr>
        <w:t>Documento revisado: «Propuesta Aumento de Plantilla — Reestructuración Team Almacén Fábrica» (8 páginas)</w:t>
      </w:r>
    </w:p>
    <w:p>
      <w:pPr>
        <w:jc w:val="center"/>
      </w:pPr>
      <w:r>
        <w:rPr>
          <w:i/>
          <w:color w:val="595959"/>
          <w:sz w:val="20"/>
        </w:rPr>
        <w:t>Verificación aritmética independiente y reproducible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Nota metodológica</w:t>
      </w:r>
    </w:p>
    <w:p>
      <w:pPr>
        <w:jc w:val="both"/>
      </w:pPr>
      <w:r>
        <w:rPr>
          <w:color w:val="333333"/>
          <w:sz w:val="21"/>
        </w:rPr>
        <w:t xml:space="preserve">Este informe revisa el documento </w:t>
      </w:r>
      <w:r>
        <w:rPr>
          <w:i/>
          <w:color w:val="333333"/>
          <w:sz w:val="21"/>
        </w:rPr>
        <w:t>Propuesta Aumento de Plantilla — Reestructuración Team Almacén Fábrica</w:t>
      </w:r>
      <w:r>
        <w:rPr>
          <w:color w:val="333333"/>
          <w:sz w:val="21"/>
        </w:rPr>
        <w:t xml:space="preserve"> (8 páginas). El procedimiento fue el siguiente: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1.</w:t>
        <w:tab/>
      </w:r>
      <w:r>
        <w:rPr>
          <w:color w:val="333333"/>
          <w:sz w:val="21"/>
        </w:rPr>
        <w:t>Se extrajeron todas las cifras publicadas en el documento original.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2.</w:t>
        <w:tab/>
      </w:r>
      <w:r>
        <w:rPr>
          <w:color w:val="333333"/>
          <w:sz w:val="21"/>
        </w:rPr>
        <w:t>Cada una se recalculó de forma independiente a partir de los supuestos que el propio documento declara, sin importar valores del original.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3.</w:t>
        <w:tab/>
      </w:r>
      <w:r>
        <w:rPr>
          <w:color w:val="333333"/>
          <w:sz w:val="21"/>
        </w:rPr>
        <w:t>Se cruzaron las secciones entre sí para detectar contradicciones internas (capacidad contra demanda, demanda contra estructura de células, protocolo contra demanda declarada).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4.</w:t>
        <w:tab/>
      </w:r>
      <w:r>
        <w:rPr>
          <w:color w:val="333333"/>
          <w:sz w:val="21"/>
        </w:rPr>
        <w:t>Se reconstruyó la asignación día por día a partir de la tabla de tareas, que es información que el documento contiene pero no explota.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5.</w:t>
        <w:tab/>
      </w:r>
      <w:r>
        <w:rPr>
          <w:color w:val="333333"/>
          <w:sz w:val="21"/>
        </w:rPr>
        <w:t>Se modelaron escenarios alternativos y análisis de sensibilidad sobre los supuestos no verificados.</w:t>
      </w:r>
    </w:p>
    <w:p>
      <w:pPr>
        <w:jc w:val="both"/>
      </w:pPr>
      <w:r>
        <w:rPr>
          <w:color w:val="333333"/>
          <w:sz w:val="21"/>
        </w:rPr>
        <w:t xml:space="preserve">Los recálculos son reproducibles con los scripts </w:t>
      </w:r>
      <w:r>
        <w:rPr>
          <w:rFonts w:ascii="Consolas" w:hAnsi="Consolas"/>
          <w:color w:val="333333"/>
          <w:sz w:val="21"/>
        </w:rPr>
        <w:t>verificacion_almacen.py</w:t>
      </w:r>
      <w:r>
        <w:rPr>
          <w:color w:val="333333"/>
          <w:sz w:val="21"/>
        </w:rPr>
        <w:t xml:space="preserve"> y </w:t>
      </w:r>
      <w:r>
        <w:rPr>
          <w:rFonts w:ascii="Consolas" w:hAnsi="Consolas"/>
          <w:color w:val="333333"/>
          <w:sz w:val="21"/>
        </w:rPr>
        <w:t>analisis_avanzado_almacen.py</w:t>
      </w:r>
      <w:r>
        <w:rPr>
          <w:color w:val="333333"/>
          <w:sz w:val="21"/>
        </w:rPr>
        <w:t>, que acompañan a este informe. Toda cifra citada aquí proviene de esa verificación, no del documento original.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1. Veredicto ejecutivo</w:t>
      </w:r>
    </w:p>
    <w:p>
      <w:pPr>
        <w:jc w:val="both"/>
      </w:pPr>
      <w:r>
        <w:rPr>
          <w:b/>
          <w:color w:val="333333"/>
          <w:sz w:val="21"/>
        </w:rPr>
        <w:t>La aritmética está impecable; el modelo no lo está.</w:t>
      </w:r>
      <w:r>
        <w:rPr>
          <w:color w:val="333333"/>
          <w:sz w:val="21"/>
        </w:rPr>
        <w:t xml:space="preserve"> Todas las sumas y productos del documento cuadran al centavo: 371.25, 288.75, 287.75, 105.00, 392.75, 104.00 y 2.5 FTE son correctos. El problema no está en la calculadora, está en los supuestos, en la consistencia interna y en la ausencia de datos duros.</w:t>
      </w:r>
    </w:p>
    <w:p>
      <w:pPr>
        <w:jc w:val="both"/>
      </w:pPr>
      <w:r>
        <w:rPr>
          <w:color w:val="333333"/>
          <w:sz w:val="21"/>
        </w:rPr>
        <w:t xml:space="preserve">En su estado actual, un director financiero o un gerente de operaciones con experiencia desarma la propuesta con tres preguntas. La buena noticia es que </w:t>
      </w:r>
      <w:r>
        <w:rPr>
          <w:b/>
          <w:color w:val="333333"/>
          <w:sz w:val="21"/>
        </w:rPr>
        <w:t>la conclusión —llegar a 12 personas— es probablemente correcta</w:t>
      </w:r>
      <w:r>
        <w:rPr>
          <w:color w:val="333333"/>
          <w:sz w:val="21"/>
        </w:rPr>
        <w:t>, pero está sostenida por el razonamiento equivocado. Hay que reconstruir el argumento, no la conclusión.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1"/>
        <w:gridCol w:w="2086"/>
        <w:gridCol w:w="4312"/>
      </w:tblGrid>
      <w:tr>
        <w:trPr>
          <w:tblHeader w:val="true"/>
        </w:trPr>
        <w:tc>
          <w:tcPr>
            <w:tcW w:type="dxa" w:w="296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2087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Evaluación</w:t>
            </w:r>
          </w:p>
        </w:tc>
        <w:tc>
          <w:tcPr>
            <w:tcW w:type="dxa" w:w="431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Comentario</w:t>
            </w:r>
          </w:p>
        </w:tc>
      </w:tr>
      <w:tr>
        <w:tc>
          <w:tcPr>
            <w:tcW w:type="dxa" w:w="296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Aritmética</w:t>
            </w:r>
          </w:p>
        </w:tc>
        <w:tc>
          <w:tcPr>
            <w:tcW w:type="dxa" w:w="208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 / 10</w:t>
            </w:r>
          </w:p>
        </w:tc>
        <w:tc>
          <w:tcPr>
            <w:tcW w:type="dxa" w:w="431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Correcta; solo errores de redondeo menores</w:t>
            </w:r>
          </w:p>
        </w:tc>
      </w:tr>
      <w:tr>
        <w:tc>
          <w:tcPr>
            <w:tcW w:type="dxa" w:w="296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Consistencia interna</w:t>
            </w:r>
          </w:p>
        </w:tc>
        <w:tc>
          <w:tcPr>
            <w:tcW w:type="dxa" w:w="208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/ 10</w:t>
            </w:r>
          </w:p>
        </w:tc>
        <w:tc>
          <w:tcPr>
            <w:tcW w:type="dxa" w:w="431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Contradice su propia plantilla, su propia demanda y su propio protocolo</w:t>
            </w:r>
          </w:p>
        </w:tc>
      </w:tr>
      <w:tr>
        <w:tc>
          <w:tcPr>
            <w:tcW w:type="dxa" w:w="296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Metodología</w:t>
            </w:r>
          </w:p>
        </w:tc>
        <w:tc>
          <w:tcPr>
            <w:tcW w:type="dxa" w:w="208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 / 10</w:t>
            </w:r>
          </w:p>
        </w:tc>
        <w:tc>
          <w:tcPr>
            <w:tcW w:type="dxa" w:w="431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Invoca OEE pero nunca lo calcula; la demanda se mide por presencia, no por volumen</w:t>
            </w:r>
          </w:p>
        </w:tc>
      </w:tr>
      <w:tr>
        <w:tc>
          <w:tcPr>
            <w:tcW w:type="dxa" w:w="296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Calidad de datos</w:t>
            </w:r>
          </w:p>
        </w:tc>
        <w:tc>
          <w:tcPr>
            <w:tcW w:type="dxa" w:w="208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 / 10</w:t>
            </w:r>
          </w:p>
        </w:tc>
        <w:tc>
          <w:tcPr>
            <w:tcW w:type="dxa" w:w="431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Sin volúmenes, sin tiempos estándar, sin líneas base de KPI, sin dinero</w:t>
            </w:r>
          </w:p>
        </w:tc>
      </w:tr>
      <w:tr>
        <w:tc>
          <w:tcPr>
            <w:tcW w:type="dxa" w:w="296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Caso de negocio</w:t>
            </w:r>
          </w:p>
        </w:tc>
        <w:tc>
          <w:tcPr>
            <w:tcW w:type="dxa" w:w="208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 / 10</w:t>
            </w:r>
          </w:p>
        </w:tc>
        <w:tc>
          <w:tcPr>
            <w:tcW w:type="dxa" w:w="431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No hay una sola cifra monetaria en las 8 páginas</w:t>
            </w:r>
          </w:p>
        </w:tc>
      </w:tr>
      <w:tr>
        <w:tc>
          <w:tcPr>
            <w:tcW w:type="dxa" w:w="296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Riesgo legal y control interno</w:t>
            </w:r>
          </w:p>
        </w:tc>
        <w:tc>
          <w:tcPr>
            <w:tcW w:type="dxa" w:w="208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/ 10</w:t>
            </w:r>
          </w:p>
        </w:tc>
        <w:tc>
          <w:tcPr>
            <w:tcW w:type="dxa" w:w="431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Datos de salud identificables, responsabilidad colectiva, autoauditoría</w:t>
            </w:r>
          </w:p>
        </w:tc>
      </w:tr>
      <w:tr>
        <w:tc>
          <w:tcPr>
            <w:tcW w:type="dxa" w:w="296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Redacción y presentación</w:t>
            </w:r>
          </w:p>
        </w:tc>
        <w:tc>
          <w:tcPr>
            <w:tcW w:type="dxa" w:w="208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 / 10</w:t>
            </w:r>
          </w:p>
        </w:tc>
        <w:tc>
          <w:tcPr>
            <w:tcW w:type="dxa" w:w="431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Tono autopromocional, artefactos de formato, siglas sin definir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Evaluación por dimensión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El hallazgo que resume todo: la carga recurrente completa del almacén —incluyendo las tareas hoy desatendidas— requiere 8.55 personas a horas nominales, y la plantilla actual es de 9 o 10. Por tanto el caso NO puede construirse sobre el trabajo del día a día. Se construye sobre otras cuatro cosas: las pérdidas de disponibilidad, la concentración del pico Lunes-Miércoles, la expansión de tiendas y el proyecto REFRESH. El documento actual apunta al lugar equivocado.</w:t>
            </w:r>
          </w:p>
        </w:tc>
      </w:tr>
    </w:tbl>
    <w:p>
      <w:pPr>
        <w:spacing w:after="40"/>
      </w:pP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2. Los cinco golpes que hay que blindar antes de presentar</w:t>
      </w:r>
    </w:p>
    <w:p>
      <w:pPr>
        <w:jc w:val="both"/>
      </w:pPr>
      <w:r>
        <w:rPr>
          <w:color w:val="333333"/>
          <w:sz w:val="21"/>
        </w:rPr>
        <w:t>Ordenados por gravedad. Si solo se corrige una parte del documento, que sea esta.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2.1 El documento se contradice sobre cuánta gente hay</w:t>
      </w:r>
    </w:p>
    <w:p>
      <w:pPr>
        <w:jc w:val="both"/>
      </w:pPr>
      <w:r>
        <w:rPr>
          <w:color w:val="333333"/>
          <w:sz w:val="21"/>
        </w:rPr>
        <w:t>La capacidad se calcula con 9 almacenistas (</w:t>
      </w:r>
      <w:r>
        <w:rPr>
          <w:rFonts w:ascii="Consolas" w:hAnsi="Consolas"/>
          <w:color w:val="333333"/>
          <w:sz w:val="21"/>
        </w:rPr>
        <w:t>9 × 41.25 = 371.25 HH</w:t>
      </w:r>
      <w:r>
        <w:rPr>
          <w:color w:val="333333"/>
          <w:sz w:val="21"/>
        </w:rPr>
        <w:t xml:space="preserve">), pero la tabla de demanda llega hasta </w:t>
      </w:r>
      <w:r>
        <w:rPr>
          <w:i/>
          <w:color w:val="333333"/>
          <w:sz w:val="21"/>
        </w:rPr>
        <w:t>«Almacenistas 9 y 10»</w:t>
      </w:r>
      <w:r>
        <w:rPr>
          <w:color w:val="333333"/>
          <w:sz w:val="21"/>
        </w:rPr>
        <w:t>. Contando cabezas nombradas en la tabla salen 10 personas. Y el título de la propuesta implica pasar de 9 a 12, o sea +3.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2"/>
        <w:gridCol w:w="3136"/>
        <w:gridCol w:w="3220"/>
      </w:tblGrid>
      <w:tr>
        <w:trPr>
          <w:tblHeader w:val="true"/>
        </w:trPr>
        <w:tc>
          <w:tcPr>
            <w:tcW w:type="dxa" w:w="300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13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 9 personas (documento)</w:t>
            </w:r>
          </w:p>
        </w:tc>
        <w:tc>
          <w:tcPr>
            <w:tcW w:type="dxa" w:w="322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 10 personas (tabla real)</w:t>
            </w:r>
          </w:p>
        </w:tc>
      </w:tr>
      <w:tr>
        <w:tc>
          <w:tcPr>
            <w:tcW w:type="dxa" w:w="300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Capacidad real efectiva</w:t>
            </w:r>
          </w:p>
        </w:tc>
        <w:tc>
          <w:tcPr>
            <w:tcW w:type="dxa" w:w="31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288.75 HH</w:t>
            </w:r>
          </w:p>
        </w:tc>
        <w:tc>
          <w:tcPr>
            <w:tcW w:type="dxa" w:w="322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330.00 HH</w:t>
            </w:r>
          </w:p>
        </w:tc>
      </w:tr>
      <w:tr>
        <w:tc>
          <w:tcPr>
            <w:tcW w:type="dxa" w:w="300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Absorción del día a día</w:t>
            </w:r>
          </w:p>
        </w:tc>
        <w:tc>
          <w:tcPr>
            <w:tcW w:type="dxa" w:w="31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99.6 %</w:t>
            </w:r>
          </w:p>
        </w:tc>
        <w:tc>
          <w:tcPr>
            <w:tcW w:type="dxa" w:w="322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87.2 %</w:t>
            </w:r>
          </w:p>
        </w:tc>
      </w:tr>
      <w:tr>
        <w:tc>
          <w:tcPr>
            <w:tcW w:type="dxa" w:w="300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Brecha total</w:t>
            </w:r>
          </w:p>
        </w:tc>
        <w:tc>
          <w:tcPr>
            <w:tcW w:type="dxa" w:w="31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104.00 HH</w:t>
            </w:r>
          </w:p>
        </w:tc>
        <w:tc>
          <w:tcPr>
            <w:tcW w:type="dxa" w:w="322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62.75 HH</w:t>
            </w:r>
          </w:p>
        </w:tc>
      </w:tr>
      <w:tr>
        <w:tc>
          <w:tcPr>
            <w:tcW w:type="dxa" w:w="300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FTE solicitados</w:t>
            </w:r>
          </w:p>
        </w:tc>
        <w:tc>
          <w:tcPr>
            <w:tcW w:type="dxa" w:w="31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2.52</w:t>
            </w:r>
          </w:p>
        </w:tc>
        <w:tc>
          <w:tcPr>
            <w:tcW w:type="dxa" w:w="322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1.52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Efecto de corregir el conteo de plantilla</w:t>
      </w:r>
    </w:p>
    <w:p>
      <w:pPr>
        <w:jc w:val="both"/>
      </w:pPr>
      <w:r>
        <w:rPr>
          <w:color w:val="333333"/>
          <w:sz w:val="21"/>
        </w:rPr>
        <w:t>La frase estelar de la propuesta —</w:t>
      </w:r>
      <w:r>
        <w:rPr>
          <w:i/>
          <w:color w:val="333333"/>
          <w:sz w:val="21"/>
        </w:rPr>
        <w:t>«absorbe el 99.6 % de la capacidad real; matemáticamente es imposible realizar las tareas estructurales»</w:t>
      </w:r>
      <w:r>
        <w:rPr>
          <w:color w:val="333333"/>
          <w:sz w:val="21"/>
        </w:rPr>
        <w:t xml:space="preserve">— </w:t>
      </w:r>
      <w:r>
        <w:rPr>
          <w:b/>
          <w:color w:val="333333"/>
          <w:sz w:val="21"/>
        </w:rPr>
        <w:t>se cae sola</w:t>
      </w:r>
      <w:r>
        <w:rPr>
          <w:color w:val="333333"/>
          <w:sz w:val="21"/>
        </w:rPr>
        <w:t xml:space="preserve"> si la plantilla es de 10. Hay que resolverlo con la nómina en mano antes de que lo resuelva la junta.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2.2 Hoy hay 124.75 horas-hombre nominales sin asignar, y se reclaman 105</w:t>
      </w:r>
    </w:p>
    <w:p>
      <w:pPr>
        <w:jc w:val="both"/>
      </w:pPr>
      <w:r>
        <w:rPr>
          <w:color w:val="333333"/>
          <w:sz w:val="21"/>
        </w:rPr>
        <w:t>Reconstruyendo la asignación día por día desde la propia tabla del documento: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5"/>
        <w:gridCol w:w="1253"/>
        <w:gridCol w:w="1253"/>
        <w:gridCol w:w="1253"/>
        <w:gridCol w:w="1253"/>
        <w:gridCol w:w="1253"/>
        <w:gridCol w:w="1287"/>
      </w:tblGrid>
      <w:tr>
        <w:trPr>
          <w:tblHeader w:val="true"/>
        </w:trPr>
        <w:tc>
          <w:tcPr>
            <w:tcW w:type="dxa" w:w="180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125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Lun</w:t>
            </w:r>
          </w:p>
        </w:tc>
        <w:tc>
          <w:tcPr>
            <w:tcW w:type="dxa" w:w="125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Mar</w:t>
            </w:r>
          </w:p>
        </w:tc>
        <w:tc>
          <w:tcPr>
            <w:tcW w:type="dxa" w:w="125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Mié</w:t>
            </w:r>
          </w:p>
        </w:tc>
        <w:tc>
          <w:tcPr>
            <w:tcW w:type="dxa" w:w="125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Jue</w:t>
            </w:r>
          </w:p>
        </w:tc>
        <w:tc>
          <w:tcPr>
            <w:tcW w:type="dxa" w:w="125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Vie</w:t>
            </w:r>
          </w:p>
        </w:tc>
        <w:tc>
          <w:tcPr>
            <w:tcW w:type="dxa" w:w="128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80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Carga asignada (HH)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80.50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80.50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75.25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25.75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25.75</w:t>
            </w:r>
          </w:p>
        </w:tc>
        <w:tc>
          <w:tcPr>
            <w:tcW w:type="dxa" w:w="12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287.75</w:t>
            </w:r>
          </w:p>
        </w:tc>
      </w:tr>
      <w:tr>
        <w:tc>
          <w:tcPr>
            <w:tcW w:type="dxa" w:w="180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Capacidad nominal, 10 pers. (HH)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</w:t>
            </w:r>
          </w:p>
        </w:tc>
        <w:tc>
          <w:tcPr>
            <w:tcW w:type="dxa" w:w="12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412.50</w:t>
            </w:r>
          </w:p>
        </w:tc>
      </w:tr>
      <w:tr>
        <w:tc>
          <w:tcPr>
            <w:tcW w:type="dxa" w:w="180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Horas sin asignar (HH)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2.00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2.00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7.25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56.75</w:t>
            </w:r>
          </w:p>
        </w:tc>
        <w:tc>
          <w:tcPr>
            <w:tcW w:type="dxa" w:w="125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56.75</w:t>
            </w:r>
          </w:p>
        </w:tc>
        <w:tc>
          <w:tcPr>
            <w:tcW w:type="dxa" w:w="12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124.75</w:t>
            </w:r>
          </w:p>
        </w:tc>
      </w:tr>
      <w:tr>
        <w:tc>
          <w:tcPr>
            <w:tcW w:type="dxa" w:w="180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Utilización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98 %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98 %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91 %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31 %</w:t>
            </w:r>
          </w:p>
        </w:tc>
        <w:tc>
          <w:tcPr>
            <w:tcW w:type="dxa" w:w="125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31 %</w:t>
            </w:r>
          </w:p>
        </w:tc>
        <w:tc>
          <w:tcPr>
            <w:tcW w:type="dxa" w:w="12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70 %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Perfil de carga por día reconstruido desde la tabla de tareas</w:t>
      </w:r>
    </w:p>
    <w:p>
      <w:pPr>
        <w:jc w:val="both"/>
      </w:pPr>
      <w:r>
        <w:rPr>
          <w:color w:val="333333"/>
          <w:sz w:val="21"/>
        </w:rPr>
        <w:t xml:space="preserve">Los seis almacenistas de PT y Equipamiento tienen </w:t>
      </w:r>
      <w:r>
        <w:rPr>
          <w:b/>
          <w:color w:val="333333"/>
          <w:sz w:val="21"/>
        </w:rPr>
        <w:t>jueves y viernes completos sin asignación</w:t>
      </w:r>
      <w:r>
        <w:rPr>
          <w:color w:val="333333"/>
          <w:sz w:val="21"/>
        </w:rPr>
        <w:t xml:space="preserve"> (99 HH). Sumando el resto: 124.75 HH nominales libres por semana, contra 105.0 HH de tareas omitidas que se reclaman. En el papel, </w:t>
      </w:r>
      <w:r>
        <w:rPr>
          <w:b/>
          <w:color w:val="333333"/>
          <w:sz w:val="21"/>
        </w:rPr>
        <w:t>las tareas omitidas caben dentro del tiempo que ya existe</w:t>
      </w:r>
      <w:r>
        <w:rPr>
          <w:color w:val="333333"/>
          <w:sz w:val="21"/>
        </w:rPr>
        <w:t>.</w:t>
      </w:r>
    </w:p>
    <w:p>
      <w:pPr>
        <w:jc w:val="both"/>
      </w:pPr>
      <w:r>
        <w:rPr>
          <w:color w:val="333333"/>
          <w:sz w:val="21"/>
        </w:rPr>
        <w:t xml:space="preserve">Peor aún: el propio documento lo admite cuando dice que la Célula 2 </w:t>
      </w:r>
      <w:r>
        <w:rPr>
          <w:i/>
          <w:color w:val="333333"/>
          <w:sz w:val="21"/>
        </w:rPr>
        <w:t>«tiene los días jueves y viernes libres de picking masivo para realizar 5S y conteos cíclicos ABC»</w:t>
      </w:r>
      <w:r>
        <w:rPr>
          <w:color w:val="333333"/>
          <w:sz w:val="21"/>
        </w:rPr>
        <w:t>. El diagnóstico omite el tiempo libre para poder declarar un déficit del 99.6 %, y la solución lo usa como recurso. No se puede sostener las dos cosas.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Esta es la pregunta que hunde la propuesta: «si tus operadores de PT no tienen asignación jueves y viernes, ¿por qué necesito contratar a alguien para los conteos cíclicos?». Hay que responderla de frente y en el cuerpo del documento. Las respuestas legítimas existen —concentración de ausencias, recuperación de atrasos del pico, tareas que exigen perfil o accesos distintos, pico real de recepción— pero hay que sustentarlas con data de asistencia y de atrasos.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b/>
          <w:color w:val="2E6DA4"/>
          <w:sz w:val="25"/>
        </w:rPr>
        <w:t>2.3 El número 3 no se deriva de nada</w:t>
      </w:r>
    </w:p>
    <w:p>
      <w:pPr>
        <w:jc w:val="both"/>
      </w:pPr>
      <w:r>
        <w:rPr>
          <w:color w:val="333333"/>
          <w:sz w:val="21"/>
        </w:rPr>
        <w:t xml:space="preserve">El documento afirma que 3 contrataciones son </w:t>
      </w:r>
      <w:r>
        <w:rPr>
          <w:i/>
          <w:color w:val="333333"/>
          <w:sz w:val="21"/>
        </w:rPr>
        <w:t>«el número exacto»</w:t>
      </w:r>
      <w:r>
        <w:rPr>
          <w:color w:val="333333"/>
          <w:sz w:val="21"/>
        </w:rPr>
        <w:t>. Con sus propios supuestos, el mismo modelo produce 1 o 4, nunca 3: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31"/>
        <w:gridCol w:w="2646"/>
        <w:gridCol w:w="2782"/>
      </w:tblGrid>
      <w:tr>
        <w:trPr>
          <w:tblHeader w:val="true"/>
        </w:trPr>
        <w:tc>
          <w:tcPr>
            <w:tcW w:type="dxa" w:w="393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Lectura de los supuestos</w:t>
            </w:r>
          </w:p>
        </w:tc>
        <w:tc>
          <w:tcPr>
            <w:tcW w:type="dxa" w:w="2647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278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93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Los nuevos sufren las mismas pérdidas (77.8 %)</w:t>
            </w:r>
          </w:p>
        </w:tc>
        <w:tc>
          <w:tcPr>
            <w:tcW w:type="dxa" w:w="264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104 / (41.25 × 0.778)</w:t>
            </w:r>
          </w:p>
        </w:tc>
        <w:tc>
          <w:tcPr>
            <w:tcW w:type="dxa" w:w="27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3.24 FTE → harían falta 4</w:t>
            </w:r>
          </w:p>
        </w:tc>
      </w:tr>
      <w:tr>
        <w:tc>
          <w:tcPr>
            <w:tcW w:type="dxa" w:w="393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Las pérdidas son transitorias (vacaciones rotativas, curva que se extingue)</w:t>
            </w:r>
          </w:p>
        </w:tc>
        <w:tc>
          <w:tcPr>
            <w:tcW w:type="dxa" w:w="264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(392.75 − 371.25) / 41.25</w:t>
            </w:r>
          </w:p>
        </w:tc>
        <w:tc>
          <w:tcPr>
            <w:tcW w:type="dxa" w:w="27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0.52 FTE → haría falta 1</w:t>
            </w:r>
          </w:p>
        </w:tc>
      </w:tr>
      <w:tr>
        <w:tc>
          <w:tcPr>
            <w:tcW w:type="dxa" w:w="393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Se aplica la expansión declarada del 12.5 % trimestral</w:t>
            </w:r>
          </w:p>
        </w:tc>
        <w:tc>
          <w:tcPr>
            <w:tcW w:type="dxa" w:w="264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(104 + 74.25) / 41.25</w:t>
            </w:r>
          </w:p>
        </w:tc>
        <w:tc>
          <w:tcPr>
            <w:tcW w:type="dxa" w:w="27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4.32 FTE → harían falta 4 o 5</w:t>
            </w:r>
          </w:p>
        </w:tc>
      </w:tr>
      <w:tr>
        <w:tc>
          <w:tcPr>
            <w:tcW w:type="dxa" w:w="393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Se corrige la plantilla a 10 personas</w:t>
            </w:r>
          </w:p>
        </w:tc>
        <w:tc>
          <w:tcPr>
            <w:tcW w:type="dxa" w:w="264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62.75 / 41.25</w:t>
            </w:r>
          </w:p>
        </w:tc>
        <w:tc>
          <w:tcPr>
            <w:tcW w:type="dxa" w:w="27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1.52 FTE → harían falta 2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El mismo modelo, cuatro lecturas, ningún resultado igual a 3</w:t>
      </w:r>
    </w:p>
    <w:p>
      <w:pPr>
        <w:jc w:val="both"/>
      </w:pPr>
      <w:r>
        <w:rPr>
          <w:color w:val="333333"/>
          <w:sz w:val="21"/>
        </w:rPr>
        <w:t xml:space="preserve">Hay además un doble estándar visible a simple vista: los 9 actuales se computan al 77.8 % de rendimiento y los 3 nuevos al 100 %. Si los nuevos rinden como el resto, aportan </w:t>
      </w:r>
      <w:r>
        <w:rPr>
          <w:rFonts w:ascii="Consolas" w:hAnsi="Consolas"/>
          <w:color w:val="333333"/>
          <w:sz w:val="21"/>
        </w:rPr>
        <w:t>3 × 41.25 × 0.778 = 96.25 HH</w:t>
      </w:r>
      <w:r>
        <w:rPr>
          <w:color w:val="333333"/>
          <w:sz w:val="21"/>
        </w:rPr>
        <w:t xml:space="preserve"> y </w:t>
      </w:r>
      <w:r>
        <w:rPr>
          <w:b/>
          <w:color w:val="333333"/>
          <w:sz w:val="21"/>
        </w:rPr>
        <w:t>no cubren las 104 HH requeridas</w:t>
      </w:r>
      <w:r>
        <w:rPr>
          <w:color w:val="333333"/>
          <w:sz w:val="21"/>
        </w:rPr>
        <w:t>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2.4 No hay una sola cifra monetaria, y el ROI tiene un error de concepto</w:t>
      </w:r>
    </w:p>
    <w:p>
      <w:pPr>
        <w:jc w:val="both"/>
      </w:pPr>
      <w:r>
        <w:rPr>
          <w:color w:val="333333"/>
          <w:sz w:val="21"/>
        </w:rPr>
        <w:t>Se pide plantilla permanente sin decir cuánto cuesta ni cuánto devuelve. Para una junta directiva, eso solo es motivo suficiente de rechazo. Y el párrafo de retorno dice:</w:t>
      </w:r>
    </w:p>
    <w:p>
      <w:pPr>
        <w:spacing w:before="120" w:after="160"/>
        <w:ind w:left="317"/>
        <w:shd w:val="clear" w:color="auto" w:fill="F4F4F4"/>
        <w:pBdr>
          <w:left w:val="single" w:sz="12" w:space="8" w:color="9AA5B1"/>
        </w:pBdr>
      </w:pPr>
      <w:r>
        <w:rPr>
          <w:rFonts w:ascii="Consolas" w:hAnsi="Consolas"/>
          <w:color w:val="333333"/>
          <w:sz w:val="19"/>
        </w:rPr>
        <w:t>«La incorporación de 3 operadores se autofinancia liberando las 10.000 piezas</w:t>
        <w:br/>
        <w:t xml:space="preserve"> del Proyecto Refresh»</w:t>
      </w:r>
    </w:p>
    <w:p>
      <w:pPr>
        <w:jc w:val="both"/>
      </w:pPr>
      <w:r>
        <w:rPr>
          <w:color w:val="333333"/>
          <w:sz w:val="21"/>
        </w:rPr>
        <w:t xml:space="preserve">Liberar inventario genera </w:t>
      </w:r>
      <w:r>
        <w:rPr>
          <w:b/>
          <w:color w:val="333333"/>
          <w:sz w:val="21"/>
        </w:rPr>
        <w:t>caja una sola vez</w:t>
      </w:r>
      <w:r>
        <w:rPr>
          <w:color w:val="333333"/>
          <w:sz w:val="21"/>
        </w:rPr>
        <w:t xml:space="preserve">. Los salarios son </w:t>
      </w:r>
      <w:r>
        <w:rPr>
          <w:b/>
          <w:color w:val="333333"/>
          <w:sz w:val="21"/>
        </w:rPr>
        <w:t>gasto recurrente</w:t>
      </w:r>
      <w:r>
        <w:rPr>
          <w:color w:val="333333"/>
          <w:sz w:val="21"/>
        </w:rPr>
        <w:t>. Un ingreso único no puede financiar un costo permanente. Esa frase, tal como está, le entrega al director financiero el argumento para devolver la propuesta.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2.5 La propuesta reduce el pico de picking mientras afirma que el volumen crece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44"/>
        <w:gridCol w:w="3438"/>
        <w:gridCol w:w="2876"/>
      </w:tblGrid>
      <w:tr>
        <w:trPr>
          <w:tblHeader w:val="true"/>
        </w:trPr>
        <w:tc>
          <w:tcPr>
            <w:tcW w:type="dxa" w:w="304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3439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Operadores PT + Equipamiento</w:t>
            </w:r>
          </w:p>
        </w:tc>
        <w:tc>
          <w:tcPr>
            <w:tcW w:type="dxa" w:w="2877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Capacidad Lun-Mié</w:t>
            </w:r>
          </w:p>
        </w:tc>
      </w:tr>
      <w:tr>
        <w:tc>
          <w:tcPr>
            <w:tcW w:type="dxa" w:w="304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Hoy</w:t>
            </w:r>
          </w:p>
        </w:tc>
        <w:tc>
          <w:tcPr>
            <w:tcW w:type="dxa" w:w="343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+ 3 = 6</w:t>
            </w:r>
          </w:p>
        </w:tc>
        <w:tc>
          <w:tcPr>
            <w:tcW w:type="dxa" w:w="287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148.50 HH</w:t>
            </w:r>
          </w:p>
        </w:tc>
      </w:tr>
      <w:tr>
        <w:tc>
          <w:tcPr>
            <w:tcW w:type="dxa" w:w="304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Propuesto (Célula 2)</w:t>
            </w:r>
          </w:p>
        </w:tc>
        <w:tc>
          <w:tcPr>
            <w:tcW w:type="dxa" w:w="343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+ 2 = 5</w:t>
            </w:r>
          </w:p>
        </w:tc>
        <w:tc>
          <w:tcPr>
            <w:tcW w:type="dxa" w:w="2877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123.75 HH</w:t>
            </w:r>
          </w:p>
        </w:tc>
      </w:tr>
      <w:tr>
        <w:tc>
          <w:tcPr>
            <w:tcW w:type="dxa" w:w="304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Variación</w:t>
            </w:r>
          </w:p>
        </w:tc>
        <w:tc>
          <w:tcPr>
            <w:tcW w:type="dxa" w:w="343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−1 operador</w:t>
            </w:r>
          </w:p>
        </w:tc>
        <w:tc>
          <w:tcPr>
            <w:tcW w:type="dxa" w:w="2877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−24.75 HH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La Célula 2 recorta el frente que se declara en crecimiento</w:t>
      </w:r>
    </w:p>
    <w:p>
      <w:pPr>
        <w:jc w:val="both"/>
      </w:pPr>
      <w:r>
        <w:rPr>
          <w:color w:val="333333"/>
          <w:sz w:val="21"/>
        </w:rPr>
        <w:t xml:space="preserve">El recorte cae precisamente sobre </w:t>
      </w:r>
      <w:r>
        <w:rPr>
          <w:b/>
          <w:color w:val="333333"/>
          <w:sz w:val="21"/>
        </w:rPr>
        <w:t>Equipamiento Volumétrico</w:t>
      </w:r>
      <w:r>
        <w:rPr>
          <w:color w:val="333333"/>
          <w:sz w:val="21"/>
        </w:rPr>
        <w:t xml:space="preserve"> (de 3 a 2), que es el material más difícil de manipular, y en el pico Lunes-Miércoles. Se pide gente para atender crecimiento y, en el mismo documento, se le quita un operador al frente que crece.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3. Lo que está bien y hay que conservar</w:t>
      </w:r>
    </w:p>
    <w:p>
      <w:pPr>
        <w:jc w:val="both"/>
      </w:pPr>
      <w:r>
        <w:rPr>
          <w:color w:val="333333"/>
          <w:sz w:val="21"/>
        </w:rPr>
        <w:t>No todo se reescribe. Estos son los activos reales del documento: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1.</w:t>
        <w:tab/>
      </w:r>
      <w:r>
        <w:rPr>
          <w:b/>
          <w:color w:val="333333"/>
          <w:sz w:val="21"/>
        </w:rPr>
        <w:t>La estructura de células con custodia física por zona.</w:t>
      </w:r>
      <w:r>
        <w:rPr>
          <w:color w:val="333333"/>
          <w:sz w:val="21"/>
        </w:rPr>
        <w:t xml:space="preserve"> Es una idea sólida y genuinamente alineada con buenas prácticas de control de inventario. Vale por sí sola, incluso sin contratar a nadie.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2.</w:t>
        <w:tab/>
      </w:r>
      <w:r>
        <w:rPr>
          <w:b/>
          <w:color w:val="333333"/>
          <w:sz w:val="21"/>
        </w:rPr>
        <w:t>Separar carga «del día a día» de carga «estructural omitida».</w:t>
      </w:r>
      <w:r>
        <w:rPr>
          <w:color w:val="333333"/>
          <w:sz w:val="21"/>
        </w:rPr>
        <w:t xml:space="preserve"> Es la distinción correcta y es lo que hace visible el problema real.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3.</w:t>
        <w:tab/>
      </w:r>
      <w:r>
        <w:rPr>
          <w:b/>
          <w:color w:val="333333"/>
          <w:sz w:val="21"/>
        </w:rPr>
        <w:t>Cuantificar en horas-hombre en lugar de argumentar por percepción.</w:t>
      </w:r>
      <w:r>
        <w:rPr>
          <w:color w:val="333333"/>
          <w:sz w:val="21"/>
        </w:rPr>
        <w:t xml:space="preserve"> El instinto es el correcto: hablar de capacidad y demanda, no de «estamos ahogados».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4.</w:t>
        <w:tab/>
      </w:r>
      <w:r>
        <w:rPr>
          <w:b/>
          <w:color w:val="333333"/>
          <w:sz w:val="21"/>
        </w:rPr>
        <w:t>Ligar cada célula a un KPI propio</w:t>
      </w:r>
      <w:r>
        <w:rPr>
          <w:color w:val="333333"/>
          <w:sz w:val="21"/>
        </w:rPr>
        <w:t xml:space="preserve"> (ERI, OTIF, errores de picking). Bien planteado; solo faltan las líneas base.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5.</w:t>
        <w:tab/>
      </w:r>
      <w:r>
        <w:rPr>
          <w:b/>
          <w:color w:val="333333"/>
          <w:sz w:val="21"/>
        </w:rPr>
        <w:t>Identificar el inventario REFRESH como capital inmovilizado</w:t>
      </w:r>
      <w:r>
        <w:rPr>
          <w:color w:val="333333"/>
          <w:sz w:val="21"/>
        </w:rPr>
        <w:t xml:space="preserve"> y no como estorbo. Ese es el ángulo financiero que puede vender toda la propuesta.</w:t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4. Inconsistencias verificadas, una por una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4.1 La jornada de 8.25 h no coincide con el horario declarado</w:t>
      </w:r>
    </w:p>
    <w:p>
      <w:pPr>
        <w:jc w:val="both"/>
      </w:pPr>
      <w:r>
        <w:rPr>
          <w:color w:val="333333"/>
          <w:sz w:val="21"/>
        </w:rPr>
        <w:t xml:space="preserve">El documento dice </w:t>
      </w:r>
      <w:r>
        <w:rPr>
          <w:i/>
          <w:color w:val="333333"/>
          <w:sz w:val="21"/>
        </w:rPr>
        <w:t>«Jornada teórica diaria: 8.25 horas (8:15 am - 4:45 pm)»</w:t>
      </w:r>
      <w:r>
        <w:rPr>
          <w:color w:val="333333"/>
          <w:sz w:val="21"/>
        </w:rPr>
        <w:t xml:space="preserve">. Ese horario abarca </w:t>
      </w:r>
      <w:r>
        <w:rPr>
          <w:b/>
          <w:color w:val="333333"/>
          <w:sz w:val="21"/>
        </w:rPr>
        <w:t>8.50 h</w:t>
      </w:r>
      <w:r>
        <w:rPr>
          <w:color w:val="333333"/>
          <w:sz w:val="21"/>
        </w:rPr>
        <w:t>, no 8.25 h. Si hay un break de 15 minutos hay que declararlo; si hay una hora de comida (lo habitual, y obligatorio en muchas jurisdicciones), la jornada neta es 7.50 h y toda la base cambia un 9 %.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621"/>
        <w:gridCol w:w="2705"/>
      </w:tblGrid>
      <w:tr>
        <w:trPr>
          <w:tblHeader w:val="true"/>
        </w:trPr>
        <w:tc>
          <w:tcPr>
            <w:tcW w:type="dxa" w:w="403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Jornada neta</w:t>
            </w:r>
          </w:p>
        </w:tc>
        <w:tc>
          <w:tcPr>
            <w:tcW w:type="dxa" w:w="262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9 personas</w:t>
            </w:r>
          </w:p>
        </w:tc>
        <w:tc>
          <w:tcPr>
            <w:tcW w:type="dxa" w:w="270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10 personas</w:t>
            </w:r>
          </w:p>
        </w:tc>
      </w:tr>
      <w:tr>
        <w:tc>
          <w:tcPr>
            <w:tcW w:type="dxa" w:w="40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7.50 h (con 1 h de comida)</w:t>
            </w:r>
          </w:p>
        </w:tc>
        <w:tc>
          <w:tcPr>
            <w:tcW w:type="dxa" w:w="262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337.50 HH</w:t>
            </w:r>
          </w:p>
        </w:tc>
        <w:tc>
          <w:tcPr>
            <w:tcW w:type="dxa" w:w="270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375.00 HH</w:t>
            </w:r>
          </w:p>
        </w:tc>
      </w:tr>
      <w:tr>
        <w:tc>
          <w:tcPr>
            <w:tcW w:type="dxa" w:w="403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8.25 h (documento)</w:t>
            </w:r>
          </w:p>
        </w:tc>
        <w:tc>
          <w:tcPr>
            <w:tcW w:type="dxa" w:w="262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371.25 HH</w:t>
            </w:r>
          </w:p>
        </w:tc>
        <w:tc>
          <w:tcPr>
            <w:tcW w:type="dxa" w:w="270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412.50 HH</w:t>
            </w:r>
          </w:p>
        </w:tc>
      </w:tr>
      <w:tr>
        <w:tc>
          <w:tcPr>
            <w:tcW w:type="dxa" w:w="40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8.50 h (span literal del horario)</w:t>
            </w:r>
          </w:p>
        </w:tc>
        <w:tc>
          <w:tcPr>
            <w:tcW w:type="dxa" w:w="262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382.50 HH</w:t>
            </w:r>
          </w:p>
        </w:tc>
        <w:tc>
          <w:tcPr>
            <w:tcW w:type="dxa" w:w="270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425.00 HH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Sensibilidad de la capacidad teórica a la jornada</w:t>
      </w:r>
    </w:p>
    <w:p>
      <w:pPr>
        <w:jc w:val="both"/>
      </w:pPr>
      <w:r>
        <w:rPr>
          <w:color w:val="333333"/>
          <w:sz w:val="21"/>
        </w:rPr>
        <w:t>Es el número del que cuelga todo el modelo y es el único que nadie verificó. Hay que cerrarlo con el reglamento interno y el reloj de asistencia, y declarar el break de forma explícita.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4.2 Se compara demanda bruta contra capacidad neta</w:t>
      </w:r>
    </w:p>
    <w:p>
      <w:pPr>
        <w:jc w:val="both"/>
      </w:pPr>
      <w:r>
        <w:rPr>
          <w:color w:val="333333"/>
          <w:sz w:val="21"/>
        </w:rPr>
        <w:t xml:space="preserve">La demanda (287.75 HH) son horas de presencia asignada de gente trabajando </w:t>
      </w:r>
      <w:r>
        <w:rPr>
          <w:b/>
          <w:color w:val="333333"/>
          <w:sz w:val="21"/>
        </w:rPr>
        <w:t>al 100 %</w:t>
      </w:r>
      <w:r>
        <w:rPr>
          <w:color w:val="333333"/>
          <w:sz w:val="21"/>
        </w:rPr>
        <w:t xml:space="preserve">. La capacidad (288.75 HH) es la misma gente </w:t>
      </w:r>
      <w:r>
        <w:rPr>
          <w:b/>
          <w:color w:val="333333"/>
          <w:sz w:val="21"/>
        </w:rPr>
        <w:t>descontada al 77.8 %</w:t>
      </w:r>
      <w:r>
        <w:rPr>
          <w:color w:val="333333"/>
          <w:sz w:val="21"/>
        </w:rPr>
        <w:t>. Se comparan dos magnitudes medidas con reglas distintas, y la comparación está construida para que el resultado sea 99.6 %.</w:t>
      </w:r>
    </w:p>
    <w:p>
      <w:pPr>
        <w:jc w:val="both"/>
      </w:pPr>
      <w:r>
        <w:rPr>
          <w:color w:val="333333"/>
          <w:sz w:val="21"/>
        </w:rPr>
        <w:t xml:space="preserve">Más de fondo: la demanda se derivó del </w:t>
      </w:r>
      <w:r>
        <w:rPr>
          <w:b/>
          <w:color w:val="333333"/>
          <w:sz w:val="21"/>
        </w:rPr>
        <w:t>horario que ya tienen asignado</w:t>
      </w:r>
      <w:r>
        <w:rPr>
          <w:color w:val="333333"/>
          <w:sz w:val="21"/>
        </w:rPr>
        <w:t>, no de un cálculo independiente del trabajo requerido. Es circular. «Necesitamos 287.75 HH porque es lo que están haciendo» no prueba que ese trabajo requiera 287.75 HH; prueba que ocupan ese tiempo.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4.3 Pérdidas transitorias tratadas como permanentes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2"/>
        <w:gridCol w:w="1955"/>
        <w:gridCol w:w="4271"/>
      </w:tblGrid>
      <w:tr>
        <w:trPr>
          <w:tblHeader w:val="true"/>
        </w:trPr>
        <w:tc>
          <w:tcPr>
            <w:tcW w:type="dxa" w:w="313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Deducción</w:t>
            </w:r>
          </w:p>
        </w:tc>
        <w:tc>
          <w:tcPr>
            <w:tcW w:type="dxa" w:w="195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HH/semana</w:t>
            </w:r>
          </w:p>
        </w:tc>
        <w:tc>
          <w:tcPr>
            <w:tcW w:type="dxa" w:w="427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¿Es realmente permanente?</w:t>
            </w:r>
          </w:p>
        </w:tc>
      </w:tr>
      <w:tr>
        <w:tc>
          <w:tcPr>
            <w:tcW w:type="dxa" w:w="31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Vacaciones (1 persona completa)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41.25</w:t>
            </w:r>
          </w:p>
        </w:tc>
        <w:tc>
          <w:tcPr>
            <w:tcW w:type="dxa" w:w="427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No. Es rotativo: 15 días/año sobre 9 personas equivale al 5.8 % estructural, no al 11.1 %</w:t>
            </w:r>
          </w:p>
        </w:tc>
      </w:tr>
      <w:tr>
        <w:tc>
          <w:tcPr>
            <w:tcW w:type="dxa" w:w="313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Intermitencia por salud (2 pers., −30 %)</w:t>
            </w:r>
          </w:p>
        </w:tc>
        <w:tc>
          <w:tcPr>
            <w:tcW w:type="dxa" w:w="195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24.75</w:t>
            </w:r>
          </w:p>
        </w:tc>
        <w:tc>
          <w:tcPr>
            <w:tcW w:type="dxa" w:w="427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Depende. Si hay restricción médica documentada, sí; si es ausentismo, es gestión de RR. HH.</w:t>
            </w:r>
          </w:p>
        </w:tc>
      </w:tr>
      <w:tr>
        <w:tc>
          <w:tcPr>
            <w:tcW w:type="dxa" w:w="31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Curva de aprendizaje (1 nuevo, −40 %)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16.50</w:t>
            </w:r>
          </w:p>
        </w:tc>
        <w:tc>
          <w:tcPr>
            <w:tcW w:type="dxa" w:w="427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No. Se extingue al madurar el aprendizaje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Naturaleza de las tres deducciones, que se suman como si fueran iguales</w:t>
      </w:r>
    </w:p>
    <w:p>
      <w:pPr>
        <w:jc w:val="both"/>
      </w:pPr>
      <w:r>
        <w:rPr>
          <w:color w:val="333333"/>
          <w:sz w:val="21"/>
        </w:rPr>
        <w:t xml:space="preserve">Descontar una persona completa de vacaciones </w:t>
      </w:r>
      <w:r>
        <w:rPr>
          <w:b/>
          <w:color w:val="333333"/>
          <w:sz w:val="21"/>
        </w:rPr>
        <w:t>todas las semanas del año</w:t>
      </w:r>
      <w:r>
        <w:rPr>
          <w:color w:val="333333"/>
          <w:sz w:val="21"/>
        </w:rPr>
        <w:t xml:space="preserve"> sobrestima el efecto: 9 personas × 15 días = 135 días/año de ausencia, que sobre 2 340 días-persona es el </w:t>
      </w:r>
      <w:r>
        <w:rPr>
          <w:b/>
          <w:color w:val="333333"/>
          <w:sz w:val="21"/>
        </w:rPr>
        <w:t>5.8 %</w:t>
      </w:r>
      <w:r>
        <w:rPr>
          <w:color w:val="333333"/>
          <w:sz w:val="21"/>
        </w:rPr>
        <w:t>, no el 11.1 % que implica la deducción. La forma correcta y estándar es un factor de disponibilidad aplicado uniformemente, no deducciones ad hoc por persona.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4.4 REFRESH: un proyecto finito contabilizado como carga permanente</w:t>
      </w:r>
    </w:p>
    <w:p>
      <w:pPr>
        <w:jc w:val="both"/>
      </w:pPr>
      <w:r>
        <w:rPr>
          <w:color w:val="333333"/>
          <w:sz w:val="21"/>
        </w:rPr>
        <w:t xml:space="preserve">Las 40 HH/semana del Proyecto REFRESH son el </w:t>
      </w:r>
      <w:r>
        <w:rPr>
          <w:b/>
          <w:color w:val="333333"/>
          <w:sz w:val="21"/>
        </w:rPr>
        <w:t>38 % de las 105 HH omitidas</w:t>
      </w:r>
      <w:r>
        <w:rPr>
          <w:color w:val="333333"/>
          <w:sz w:val="21"/>
        </w:rPr>
        <w:t xml:space="preserve"> y se usan para justificar plantilla permanente. Pero son 10 000 piezas: es un trabajo con fin.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9"/>
        <w:gridCol w:w="2698"/>
        <w:gridCol w:w="3631"/>
      </w:tblGrid>
      <w:tr>
        <w:trPr>
          <w:tblHeader w:val="true"/>
        </w:trPr>
        <w:tc>
          <w:tcPr>
            <w:tcW w:type="dxa" w:w="303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Ritmo supuesto</w:t>
            </w:r>
          </w:p>
        </w:tc>
        <w:tc>
          <w:tcPr>
            <w:tcW w:type="dxa" w:w="2699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HH totales</w:t>
            </w:r>
          </w:p>
        </w:tc>
        <w:tc>
          <w:tcPr>
            <w:tcW w:type="dxa" w:w="363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Duración a 40 HH/semana</w:t>
            </w:r>
          </w:p>
        </w:tc>
      </w:tr>
      <w:tr>
        <w:tc>
          <w:tcPr>
            <w:tcW w:type="dxa" w:w="303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20 piezas/HH</w:t>
            </w:r>
          </w:p>
        </w:tc>
        <w:tc>
          <w:tcPr>
            <w:tcW w:type="dxa" w:w="269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500 HH</w:t>
            </w:r>
          </w:p>
        </w:tc>
        <w:tc>
          <w:tcPr>
            <w:tcW w:type="dxa" w:w="363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12.5 semanas</w:t>
            </w:r>
          </w:p>
        </w:tc>
      </w:tr>
      <w:tr>
        <w:tc>
          <w:tcPr>
            <w:tcW w:type="dxa" w:w="303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30 piezas/HH</w:t>
            </w:r>
          </w:p>
        </w:tc>
        <w:tc>
          <w:tcPr>
            <w:tcW w:type="dxa" w:w="269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333 HH</w:t>
            </w:r>
          </w:p>
        </w:tc>
        <w:tc>
          <w:tcPr>
            <w:tcW w:type="dxa" w:w="363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8.3 semanas</w:t>
            </w:r>
          </w:p>
        </w:tc>
      </w:tr>
      <w:tr>
        <w:tc>
          <w:tcPr>
            <w:tcW w:type="dxa" w:w="303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40 piezas/HH</w:t>
            </w:r>
          </w:p>
        </w:tc>
        <w:tc>
          <w:tcPr>
            <w:tcW w:type="dxa" w:w="269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250 HH</w:t>
            </w:r>
          </w:p>
        </w:tc>
        <w:tc>
          <w:tcPr>
            <w:tcW w:type="dxa" w:w="363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6.2 semanas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El proyecto REFRESH es finito; su duración depende de un ritmo que no se declara</w:t>
      </w:r>
    </w:p>
    <w:p>
      <w:pPr>
        <w:jc w:val="both"/>
      </w:pPr>
      <w:r>
        <w:rPr>
          <w:color w:val="333333"/>
          <w:sz w:val="21"/>
        </w:rPr>
        <w:t xml:space="preserve">El documento </w:t>
      </w:r>
      <w:r>
        <w:rPr>
          <w:b/>
          <w:color w:val="333333"/>
          <w:sz w:val="21"/>
        </w:rPr>
        <w:t>no declara el ritmo de procesamiento</w:t>
      </w:r>
      <w:r>
        <w:rPr>
          <w:color w:val="333333"/>
          <w:sz w:val="21"/>
        </w:rPr>
        <w:t>, que es justo el dato que convierte «40 HH/semana» en una cifra auditable. Y financiar nómina indefinida con un proyecto de dos o tres meses es exactamente lo que un director financiero detecta y castiga. Corresponde recurso temporal, horas extra u outsourcing, no plantilla permanente.</w:t>
      </w:r>
    </w:p>
    <w:p>
      <w:pPr>
        <w:jc w:val="both"/>
      </w:pPr>
      <w:r>
        <w:rPr>
          <w:color w:val="333333"/>
          <w:sz w:val="21"/>
        </w:rPr>
        <w:t>Además la Célula 4 asigna 2 personas fijas (82.5 HH) a devoluciones más REFRESH cuando la demanda declarada de ese frente es 60 HH. Cuando REFRESH termine, esa célula queda con 20 HH de trabajo y 82.5 HH de capacidad.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4.5 El «12.5 % por trimestre» no es constante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1915"/>
        <w:gridCol w:w="2664"/>
        <w:gridCol w:w="2439"/>
      </w:tblGrid>
      <w:tr>
        <w:trPr>
          <w:tblHeader w:val="true"/>
        </w:trPr>
        <w:tc>
          <w:tcPr>
            <w:tcW w:type="dxa" w:w="234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Trimestre</w:t>
            </w:r>
          </w:p>
        </w:tc>
        <w:tc>
          <w:tcPr>
            <w:tcW w:type="dxa" w:w="191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Tiendas</w:t>
            </w:r>
          </w:p>
        </w:tc>
        <w:tc>
          <w:tcPr>
            <w:tcW w:type="dxa" w:w="266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Incremento porcentual</w:t>
            </w:r>
          </w:p>
        </w:tc>
        <w:tc>
          <w:tcPr>
            <w:tcW w:type="dxa" w:w="244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Carga adicional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T1</w:t>
            </w:r>
          </w:p>
        </w:tc>
        <w:tc>
          <w:tcPr>
            <w:tcW w:type="dxa" w:w="191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 → 9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12.5 %</w:t>
            </w:r>
          </w:p>
        </w:tc>
        <w:tc>
          <w:tcPr>
            <w:tcW w:type="dxa" w:w="24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+18.56 HH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T2</w:t>
            </w:r>
          </w:p>
        </w:tc>
        <w:tc>
          <w:tcPr>
            <w:tcW w:type="dxa" w:w="191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 → 10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11.1 %</w:t>
            </w:r>
          </w:p>
        </w:tc>
        <w:tc>
          <w:tcPr>
            <w:tcW w:type="dxa" w:w="24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+18.56 HH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T3</w:t>
            </w:r>
          </w:p>
        </w:tc>
        <w:tc>
          <w:tcPr>
            <w:tcW w:type="dxa" w:w="191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 → 11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10.0 %</w:t>
            </w:r>
          </w:p>
        </w:tc>
        <w:tc>
          <w:tcPr>
            <w:tcW w:type="dxa" w:w="24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+18.56 HH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T4</w:t>
            </w:r>
          </w:p>
        </w:tc>
        <w:tc>
          <w:tcPr>
            <w:tcW w:type="dxa" w:w="191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11 → 12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9.1 %</w:t>
            </w:r>
          </w:p>
        </w:tc>
        <w:tc>
          <w:tcPr>
            <w:tcW w:type="dxa" w:w="24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+18.56 HH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Total 12 meses</w:t>
            </w:r>
          </w:p>
        </w:tc>
        <w:tc>
          <w:tcPr>
            <w:tcW w:type="dxa" w:w="191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 → 12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+50 %</w:t>
            </w:r>
          </w:p>
        </w:tc>
        <w:tc>
          <w:tcPr>
            <w:tcW w:type="dxa" w:w="24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+74.25 HH/semana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El porcentaje decrece porque la base crece; la carga en horas es lineal</w:t>
      </w:r>
    </w:p>
    <w:p>
      <w:pPr>
        <w:jc w:val="both"/>
      </w:pPr>
      <w:r>
        <w:rPr>
          <w:color w:val="333333"/>
          <w:sz w:val="21"/>
        </w:rPr>
        <w:t xml:space="preserve">En horas-hombre la carga es lineal (unos 18.56 HH por tienda), no porcentual. Usar porcentajes sobre base móvil es un error conceptual que además </w:t>
      </w:r>
      <w:r>
        <w:rPr>
          <w:b/>
          <w:color w:val="333333"/>
          <w:sz w:val="21"/>
        </w:rPr>
        <w:t>no hace falta</w:t>
      </w:r>
      <w:r>
        <w:rPr>
          <w:color w:val="333333"/>
          <w:sz w:val="21"/>
        </w:rPr>
        <w:t>: la cifra en horas es más simple y más defendible.</w:t>
      </w:r>
    </w:p>
    <w:p>
      <w:pPr>
        <w:jc w:val="both"/>
      </w:pPr>
      <w:r>
        <w:rPr>
          <w:color w:val="333333"/>
          <w:sz w:val="21"/>
        </w:rPr>
        <w:t xml:space="preserve">Detalle relacionado: la línea </w:t>
      </w:r>
      <w:r>
        <w:rPr>
          <w:i/>
          <w:color w:val="333333"/>
          <w:sz w:val="21"/>
        </w:rPr>
        <w:t>«Reabastecimiento Tienda Nueva (cada 3 meses) = 16.25 HH»</w:t>
      </w:r>
      <w:r>
        <w:rPr>
          <w:color w:val="333333"/>
          <w:sz w:val="21"/>
        </w:rPr>
        <w:t xml:space="preserve"> es muy cercana a los 18.56 HH/tienda del estándar. Eso sugiere que </w:t>
      </w:r>
      <w:r>
        <w:rPr>
          <w:b/>
          <w:color w:val="333333"/>
          <w:sz w:val="21"/>
        </w:rPr>
        <w:t>ya es la tienda 9 en régimen</w:t>
      </w:r>
      <w:r>
        <w:rPr>
          <w:color w:val="333333"/>
          <w:sz w:val="21"/>
        </w:rPr>
        <w:t>, no un evento trimestral. Si es así, la base real es 9 tiendas y la etiqueta «cada 3 meses» induce a error, o puede leerse como doble conteo.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4.6 Consumibles está asignado a dos células, y la Célula 3 queda sobredimensionada</w:t>
      </w:r>
    </w:p>
    <w:p>
      <w:pPr>
        <w:jc w:val="both"/>
      </w:pPr>
      <w:r>
        <w:rPr>
          <w:color w:val="333333"/>
          <w:sz w:val="21"/>
        </w:rPr>
        <w:t xml:space="preserve">La Célula 1 aparece en la tabla de custodia como responsable de la </w:t>
      </w:r>
      <w:r>
        <w:rPr>
          <w:i/>
          <w:color w:val="333333"/>
          <w:sz w:val="21"/>
        </w:rPr>
        <w:t>«Jaula de Consumibles (Empaques/Taller)»</w:t>
      </w:r>
      <w:r>
        <w:rPr>
          <w:color w:val="333333"/>
          <w:sz w:val="21"/>
        </w:rPr>
        <w:t xml:space="preserve">, mientras la Célula 3 dice en su justificación que </w:t>
      </w:r>
      <w:r>
        <w:rPr>
          <w:i/>
          <w:color w:val="333333"/>
          <w:sz w:val="21"/>
        </w:rPr>
        <w:t>«unifica los pedidos de la web, cuadro chat y la entrega de consumibles»</w:t>
      </w:r>
      <w:r>
        <w:rPr>
          <w:color w:val="333333"/>
          <w:sz w:val="21"/>
        </w:rPr>
        <w:t>. El mismo frente está en dos células, y eso define si la Célula 3 tiene trabajo: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9"/>
        <w:gridCol w:w="1333"/>
        <w:gridCol w:w="1941"/>
        <w:gridCol w:w="1909"/>
        <w:gridCol w:w="1736"/>
      </w:tblGrid>
      <w:tr>
        <w:trPr>
          <w:tblHeader w:val="true"/>
        </w:trPr>
        <w:tc>
          <w:tcPr>
            <w:tcW w:type="dxa" w:w="244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Célula</w:t>
            </w:r>
          </w:p>
        </w:tc>
        <w:tc>
          <w:tcPr>
            <w:tcW w:type="dxa" w:w="1333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Ops</w:t>
            </w:r>
          </w:p>
        </w:tc>
        <w:tc>
          <w:tcPr>
            <w:tcW w:type="dxa" w:w="194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Capacidad nominal</w:t>
            </w:r>
          </w:p>
        </w:tc>
        <w:tc>
          <w:tcPr>
            <w:tcW w:type="dxa" w:w="191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Demanda mapeada</w:t>
            </w:r>
          </w:p>
        </w:tc>
        <w:tc>
          <w:tcPr>
            <w:tcW w:type="dxa" w:w="173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Utilización</w:t>
            </w:r>
          </w:p>
        </w:tc>
      </w:tr>
      <w:tr>
        <w:tc>
          <w:tcPr>
            <w:tcW w:type="dxa" w:w="24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1: MP + Insumos + Consumibles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9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123.75 HH</w:t>
            </w:r>
          </w:p>
        </w:tc>
        <w:tc>
          <w:tcPr>
            <w:tcW w:type="dxa" w:w="191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108.00 HH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87 %</w:t>
            </w:r>
          </w:p>
        </w:tc>
      </w:tr>
      <w:tr>
        <w:tc>
          <w:tcPr>
            <w:tcW w:type="dxa" w:w="24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2: PT + Equipamiento + Rampa</w:t>
            </w:r>
          </w:p>
        </w:tc>
        <w:tc>
          <w:tcPr>
            <w:tcW w:type="dxa" w:w="133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94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206.25 HH</w:t>
            </w:r>
          </w:p>
        </w:tc>
        <w:tc>
          <w:tcPr>
            <w:tcW w:type="dxa" w:w="191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164.75 HH</w:t>
            </w:r>
          </w:p>
        </w:tc>
        <w:tc>
          <w:tcPr>
            <w:tcW w:type="dxa" w:w="17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80 %</w:t>
            </w:r>
          </w:p>
        </w:tc>
      </w:tr>
      <w:tr>
        <w:tc>
          <w:tcPr>
            <w:tcW w:type="dxa" w:w="244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3: E-commerce + Chat (+ Consumibles?)</w:t>
            </w:r>
          </w:p>
        </w:tc>
        <w:tc>
          <w:tcPr>
            <w:tcW w:type="dxa" w:w="1333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9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191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15.00 – 40.50 HH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18 – 49 %</w:t>
            </w:r>
          </w:p>
        </w:tc>
      </w:tr>
      <w:tr>
        <w:tc>
          <w:tcPr>
            <w:tcW w:type="dxa" w:w="244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4: Logística Inversa + REFRESH</w:t>
            </w:r>
          </w:p>
        </w:tc>
        <w:tc>
          <w:tcPr>
            <w:tcW w:type="dxa" w:w="1333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94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191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60.00 HH</w:t>
            </w:r>
          </w:p>
        </w:tc>
        <w:tc>
          <w:tcPr>
            <w:tcW w:type="dxa" w:w="17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73 %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Utilización de cada célula según los propios números del documento</w:t>
      </w:r>
    </w:p>
    <w:p>
      <w:pPr>
        <w:jc w:val="both"/>
      </w:pPr>
      <w:r>
        <w:rPr>
          <w:color w:val="333333"/>
          <w:sz w:val="21"/>
        </w:rPr>
        <w:t>La Célula 3 usa entre el 18 % y el 49 % de su capacidad según dónde se cuenten los consumibles. Es la célula más fácil de recortar para quien quiera rechazar la propuesta, y encima es la que carga el SLA más agresivo (menos de 24 h). Hay que sustentarla con volúmenes de pedidos web y proyección del canal digital, que hoy no aparecen en ninguna parte, o redistribuir su alcance.</w:t>
      </w:r>
    </w:p>
    <w:p>
      <w:pPr>
        <w:jc w:val="both"/>
      </w:pPr>
      <w:r>
        <w:rPr>
          <w:color w:val="333333"/>
          <w:sz w:val="21"/>
        </w:rPr>
        <w:t xml:space="preserve">También conviene notar que la línea «Reabastecimiento Tienda Nueva» (16.25 HH) </w:t>
      </w:r>
      <w:r>
        <w:rPr>
          <w:b/>
          <w:color w:val="333333"/>
          <w:sz w:val="21"/>
        </w:rPr>
        <w:t>no queda asignada explícitamente a ninguna célula</w:t>
      </w:r>
      <w:r>
        <w:rPr>
          <w:color w:val="333333"/>
          <w:sz w:val="21"/>
        </w:rPr>
        <w:t xml:space="preserve"> en la estructura nueva. Cada hora-hombre de la demanda debe tener un dueño en el organigrama propuesto; si no, la tabla de demanda y la de células no son comparables.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4.7 Conteos cíclicos: dos cifras que no cuadran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 xml:space="preserve">Demanda declarada en la tabla de tareas omitidas: </w:t>
      </w:r>
      <w:r>
        <w:rPr>
          <w:b/>
          <w:color w:val="333333"/>
          <w:sz w:val="21"/>
        </w:rPr>
        <w:t>30.0 HH/semana</w:t>
      </w:r>
      <w:r>
        <w:rPr>
          <w:color w:val="333333"/>
          <w:sz w:val="21"/>
        </w:rPr>
        <w:t>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 xml:space="preserve">Protocolo declarado en la sección de gobernanza: «cada viernes las células dedican las últimas 2 horas» = </w:t>
      </w:r>
      <w:r>
        <w:rPr>
          <w:rFonts w:ascii="Consolas" w:hAnsi="Consolas"/>
          <w:color w:val="333333"/>
          <w:sz w:val="21"/>
        </w:rPr>
        <w:t>12 × 2 = 24.0 HH/semana</w:t>
      </w:r>
      <w:r>
        <w:rPr>
          <w:color w:val="333333"/>
          <w:sz w:val="21"/>
        </w:rPr>
        <w:t>.</w:t>
      </w:r>
    </w:p>
    <w:p>
      <w:pPr>
        <w:jc w:val="both"/>
      </w:pPr>
      <w:r>
        <w:rPr>
          <w:color w:val="333333"/>
          <w:sz w:val="21"/>
        </w:rPr>
        <w:t>Faltan 6 HH. Quien cruce las dos secciones encuentra que el protocolo propuesto no cubre la demanda que el mismo documento definió.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4.8 Errores menores de redondeo y de formato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3"/>
        <w:gridCol w:w="2449"/>
        <w:gridCol w:w="3776"/>
      </w:tblGrid>
      <w:tr>
        <w:trPr>
          <w:tblHeader w:val="true"/>
        </w:trPr>
        <w:tc>
          <w:tcPr>
            <w:tcW w:type="dxa" w:w="3134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Cifra del documento</w:t>
            </w:r>
          </w:p>
        </w:tc>
        <w:tc>
          <w:tcPr>
            <w:tcW w:type="dxa" w:w="245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Valor correcto</w:t>
            </w:r>
          </w:p>
        </w:tc>
        <w:tc>
          <w:tcPr>
            <w:tcW w:type="dxa" w:w="377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77.7 % de utilización</w:t>
            </w:r>
          </w:p>
        </w:tc>
        <w:tc>
          <w:tcPr>
            <w:tcW w:type="dxa" w:w="245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77.8 %</w:t>
            </w:r>
          </w:p>
        </w:tc>
        <w:tc>
          <w:tcPr>
            <w:tcW w:type="dxa" w:w="377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288.75 / 371.25 = 77.78 %</w:t>
            </w:r>
          </w:p>
        </w:tc>
      </w:tr>
      <w:tr>
        <w:tc>
          <w:tcPr>
            <w:tcW w:type="dxa" w:w="31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99.6 % de absorción</w:t>
            </w:r>
          </w:p>
        </w:tc>
        <w:tc>
          <w:tcPr>
            <w:tcW w:type="dxa" w:w="245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99.65 %</w:t>
            </w:r>
          </w:p>
        </w:tc>
        <w:tc>
          <w:tcPr>
            <w:tcW w:type="dxa" w:w="377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El documento trunca en lugar de redondear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2.5 operadores</w:t>
            </w:r>
          </w:p>
        </w:tc>
        <w:tc>
          <w:tcPr>
            <w:tcW w:type="dxa" w:w="245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2.52</w:t>
            </w:r>
          </w:p>
        </w:tc>
        <w:tc>
          <w:tcPr>
            <w:tcW w:type="dxa" w:w="377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Conviene mostrar el decimal</w:t>
            </w:r>
          </w:p>
        </w:tc>
      </w:tr>
      <w:tr>
        <w:tc>
          <w:tcPr>
            <w:tcW w:type="dxa" w:w="3134"/>
            <w:shd w:val="clear" w:color="auto" w:fill="F2F5F9"/>
          </w:tcPr>
          <w:p>
            <w:pPr>
              <w:spacing w:after="40" w:before="40"/>
            </w:pPr>
            <w:r>
              <w:rPr>
                <w:rFonts w:ascii="Consolas" w:hAnsi="Consolas"/>
                <w:color w:val="333333"/>
                <w:sz w:val="19"/>
              </w:rPr>
              <w:t>$\times$</w:t>
            </w:r>
            <w:r>
              <w:rPr>
                <w:color w:val="333333"/>
                <w:sz w:val="19"/>
              </w:rPr>
              <w:t xml:space="preserve"> en dos filas</w:t>
            </w:r>
          </w:p>
        </w:tc>
        <w:tc>
          <w:tcPr>
            <w:tcW w:type="dxa" w:w="245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×</w:t>
            </w:r>
          </w:p>
        </w:tc>
        <w:tc>
          <w:tcPr>
            <w:tcW w:type="dxa" w:w="377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Artefacto de LaTeX sin renderizar</w:t>
            </w:r>
          </w:p>
        </w:tc>
      </w:tr>
      <w:tr>
        <w:tc>
          <w:tcPr>
            <w:tcW w:type="dxa" w:w="31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Tablas desmaquetadas</w:t>
            </w:r>
          </w:p>
        </w:tc>
        <w:tc>
          <w:tcPr>
            <w:tcW w:type="dxa" w:w="245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77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Encabezados partidos a media palabra al exportar</w:t>
            </w:r>
          </w:p>
        </w:tc>
      </w:tr>
      <w:tr>
        <w:tc>
          <w:tcPr>
            <w:tcW w:type="dxa" w:w="31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«utilización real utilizable»</w:t>
            </w:r>
          </w:p>
        </w:tc>
        <w:tc>
          <w:tcPr>
            <w:tcW w:type="dxa" w:w="245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77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Redundancia de redacción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Correcciones puntuales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5. Debilidades metodológicas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5.1 Se invoca OEE y nunca se calcula</w:t>
      </w:r>
    </w:p>
    <w:p>
      <w:pPr>
        <w:jc w:val="both"/>
      </w:pPr>
      <w:r>
        <w:rPr>
          <w:color w:val="333333"/>
          <w:sz w:val="21"/>
        </w:rPr>
        <w:t xml:space="preserve">El documento define OEE = Disponibilidad × Desempeño × Calidad y después </w:t>
      </w:r>
      <w:r>
        <w:rPr>
          <w:b/>
          <w:color w:val="333333"/>
          <w:sz w:val="21"/>
        </w:rPr>
        <w:t>no presenta ni un solo valor de los tres factores</w:t>
      </w:r>
      <w:r>
        <w:rPr>
          <w:color w:val="333333"/>
          <w:sz w:val="21"/>
        </w:rPr>
        <w:t>. El único número que aparece (77.8 %) es utilización de horas, es decir apenas una aproximación a Disponibilidad. Prometer una metodología y no ejecutarla es peor que no mencionarla: invita a preguntar por lo que falta.</w:t>
      </w:r>
    </w:p>
    <w:p>
      <w:pPr>
        <w:jc w:val="both"/>
      </w:pPr>
      <w:r>
        <w:rPr>
          <w:color w:val="333333"/>
          <w:sz w:val="21"/>
        </w:rPr>
        <w:t xml:space="preserve">Hay además un error de traducción. La portada dice </w:t>
      </w:r>
      <w:r>
        <w:rPr>
          <w:i/>
          <w:color w:val="333333"/>
          <w:sz w:val="21"/>
        </w:rPr>
        <w:t xml:space="preserve">«OEE (Overall Equipment Effectiveness / Eficiencia General de </w:t>
      </w:r>
      <w:r>
        <w:rPr>
          <w:i/>
          <w:color w:val="333333"/>
          <w:sz w:val="21"/>
        </w:rPr>
        <w:t>Personal</w:t>
      </w:r>
      <w:r>
        <w:rPr>
          <w:i/>
          <w:color w:val="333333"/>
          <w:sz w:val="21"/>
        </w:rPr>
        <w:t>)»</w:t>
      </w:r>
      <w:r>
        <w:rPr>
          <w:color w:val="333333"/>
          <w:sz w:val="21"/>
        </w:rPr>
        <w:t xml:space="preserve"> y el marco teórico dice </w:t>
      </w:r>
      <w:r>
        <w:rPr>
          <w:i/>
          <w:color w:val="333333"/>
          <w:sz w:val="21"/>
        </w:rPr>
        <w:t xml:space="preserve">«Eficiencia General de los </w:t>
      </w:r>
      <w:r>
        <w:rPr>
          <w:i/>
          <w:color w:val="333333"/>
          <w:sz w:val="21"/>
        </w:rPr>
        <w:t>Equipos</w:t>
      </w:r>
      <w:r>
        <w:rPr>
          <w:i/>
          <w:color w:val="333333"/>
          <w:sz w:val="21"/>
        </w:rPr>
        <w:t>»</w:t>
      </w:r>
      <w:r>
        <w:rPr>
          <w:color w:val="333333"/>
          <w:sz w:val="21"/>
        </w:rPr>
        <w:t xml:space="preserve">. Se contradice a sí mismo en dos páginas. Para personas la métrica correcta es </w:t>
      </w:r>
      <w:r>
        <w:rPr>
          <w:b/>
          <w:color w:val="333333"/>
          <w:sz w:val="21"/>
        </w:rPr>
        <w:t>OLE (Overall Labor Effectiveness)</w:t>
      </w:r>
      <w:r>
        <w:rPr>
          <w:color w:val="333333"/>
          <w:sz w:val="21"/>
        </w:rPr>
        <w:t>:</w:t>
      </w:r>
    </w:p>
    <w:p>
      <w:pPr>
        <w:spacing w:before="120" w:after="160"/>
        <w:ind w:left="317"/>
        <w:shd w:val="clear" w:color="auto" w:fill="F4F4F4"/>
        <w:pBdr>
          <w:left w:val="single" w:sz="12" w:space="8" w:color="9AA5B1"/>
        </w:pBdr>
      </w:pPr>
      <w:r>
        <w:rPr>
          <w:rFonts w:ascii="Consolas" w:hAnsi="Consolas"/>
          <w:color w:val="333333"/>
          <w:sz w:val="19"/>
        </w:rPr>
        <w:t>OLE = Disponibilidad × Desempeño × Calidad</w:t>
        <w:br/>
        <w:t xml:space="preserve">    = (horas trabajadas / horas contratadas)</w:t>
        <w:br/>
        <w:t xml:space="preserve">    × (producción real / estándar esperado)</w:t>
        <w:br/>
        <w:t xml:space="preserve">    × (1 − tasa de error)</w:t>
        <w:br/>
        <w:br/>
        <w:t>Ejemplo con valores plausibles: 0.85 × 0.90 × 0.97 = 74 %</w:t>
      </w:r>
    </w:p>
    <w:p>
      <w:pPr>
        <w:jc w:val="both"/>
      </w:pPr>
      <w:r>
        <w:rPr>
          <w:color w:val="333333"/>
          <w:sz w:val="21"/>
        </w:rPr>
        <w:t>Nota terminológica adicional: «Capacidad Instalada» es vocabulario de planta y maquinaria. Para personas corresponde «capacidad de mano de obra» o «modelo de dotación».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5.2 La demanda no está construida sobre generadores de volumen</w:t>
      </w:r>
    </w:p>
    <w:p>
      <w:pPr>
        <w:jc w:val="both"/>
      </w:pPr>
      <w:r>
        <w:rPr>
          <w:color w:val="333333"/>
          <w:sz w:val="21"/>
        </w:rPr>
        <w:t>Esta es la falla metodológica de fondo. Una demanda defendible se construye así:</w:t>
      </w:r>
    </w:p>
    <w:p>
      <w:pPr>
        <w:spacing w:before="120" w:after="160"/>
        <w:ind w:left="317"/>
        <w:shd w:val="clear" w:color="auto" w:fill="F4F4F4"/>
        <w:pBdr>
          <w:left w:val="single" w:sz="12" w:space="8" w:color="9AA5B1"/>
        </w:pBdr>
      </w:pPr>
      <w:r>
        <w:rPr>
          <w:rFonts w:ascii="Consolas" w:hAnsi="Consolas"/>
          <w:color w:val="333333"/>
          <w:sz w:val="19"/>
        </w:rPr>
        <w:t>HH requeridas   = Σ (volumen_i × tiempo_estándar_i)</w:t>
        <w:br/>
        <w:t>FTE requeridos  = HH requeridas / (horas_semana × factor_disponibilidad)</w:t>
      </w:r>
    </w:p>
    <w:p>
      <w:pPr>
        <w:jc w:val="both"/>
      </w:pPr>
      <w:r>
        <w:rPr>
          <w:color w:val="333333"/>
          <w:sz w:val="21"/>
        </w:rPr>
        <w:t xml:space="preserve">El documento no tiene ni volúmenes ni tiempos estándar. Sin ellos no se puede responder la pregunta obvia: </w:t>
      </w:r>
      <w:r>
        <w:rPr>
          <w:b/>
          <w:color w:val="333333"/>
          <w:sz w:val="21"/>
        </w:rPr>
        <w:t>¿el equipo actual es productivo?</w:t>
      </w:r>
      <w:r>
        <w:rPr>
          <w:color w:val="333333"/>
          <w:sz w:val="21"/>
        </w:rPr>
        <w:t xml:space="preserve"> Y sin esa respuesta, la contrapropuesta natural de la gerencia es «mejora la productividad antes de pedir gente».</w:t>
      </w:r>
    </w:p>
    <w:p>
      <w:pPr>
        <w:jc w:val="both"/>
      </w:pPr>
      <w:r>
        <w:rPr>
          <w:color w:val="333333"/>
          <w:sz w:val="21"/>
        </w:rPr>
        <w:t xml:space="preserve">Vale la pena notar que los 18.56 HH por tienda por semana equivalen a más de dos jornadas completas de una persona </w:t>
      </w:r>
      <w:r>
        <w:rPr>
          <w:b/>
          <w:color w:val="333333"/>
          <w:sz w:val="21"/>
        </w:rPr>
        <w:t>por tienda</w:t>
      </w:r>
      <w:r>
        <w:rPr>
          <w:color w:val="333333"/>
          <w:sz w:val="21"/>
        </w:rPr>
        <w:t>. Puede ser correcto, pero es una cifra alta que exige sustento en unidades movidas.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5.3 El promedio semanal esconde el problema real</w:t>
      </w:r>
    </w:p>
    <w:p>
      <w:pPr>
        <w:jc w:val="both"/>
      </w:pPr>
      <w:r>
        <w:rPr>
          <w:color w:val="333333"/>
          <w:sz w:val="21"/>
        </w:rPr>
        <w:t xml:space="preserve">El modelo es un promedio semanal y por eso no ve que el problema real es de </w:t>
      </w:r>
      <w:r>
        <w:rPr>
          <w:b/>
          <w:color w:val="333333"/>
          <w:sz w:val="21"/>
        </w:rPr>
        <w:t>pico y distribución</w:t>
      </w:r>
      <w:r>
        <w:rPr>
          <w:color w:val="333333"/>
          <w:sz w:val="21"/>
        </w:rPr>
        <w:t>, no de volumen total: Lunes a Miércoles al 91-98 % y Jueves-Viernes al 31 %. Un modelo así puede mostrar capacidad suficiente mientras los lunes se caen. Y abre la alternativa que el documento no menciona: nivelar la carga (sección 6.4).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5.4 No se verifica si la restricción es realmente la gente</w:t>
      </w:r>
    </w:p>
    <w:p>
      <w:pPr>
        <w:jc w:val="both"/>
      </w:pPr>
      <w:r>
        <w:rPr>
          <w:color w:val="333333"/>
          <w:sz w:val="21"/>
        </w:rPr>
        <w:t xml:space="preserve">Se asume que el cuello de botella es mano de obra. Puede no serlo. Si hay un solo montacargas, dos andenes o escáneres insuficientes, </w:t>
      </w:r>
      <w:r>
        <w:rPr>
          <w:b/>
          <w:color w:val="333333"/>
          <w:sz w:val="21"/>
        </w:rPr>
        <w:t>contratar tres personas no aumenta el throughput</w:t>
      </w:r>
      <w:r>
        <w:rPr>
          <w:color w:val="333333"/>
          <w:sz w:val="21"/>
        </w:rPr>
        <w:t>: solo agrega gente esperando. Antes de pedir plantilla hay que descartar restricciones de equipo, andén, espacio y sistema. Si el cuello de botella es equipo, la propuesta correcta es otra y probablemente más barata.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5.5 No hay análisis de alternativas ni escenarios</w:t>
      </w:r>
    </w:p>
    <w:p>
      <w:pPr>
        <w:jc w:val="both"/>
      </w:pPr>
      <w:r>
        <w:rPr>
          <w:color w:val="333333"/>
          <w:sz w:val="21"/>
        </w:rPr>
        <w:t>Ninguna junta aprueba plantilla permanente sin ver las opciones descartadas. Faltan, como mínimo: horas extra, personal temporal, nivelación de carga, cambio de frecuencia de reparto, tercerización del REFRESH, mejoras de WMS, picking por olas y cross-docking. Cada una con su costo y con la razón por la que no resuelve, o por la que resuelve solo en parte. Tampoco hay escenarios base, optimista y pesimista sobre los dos supuestos que mueven todo: jornada neta y ritmo de apertura.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6. Análisis complementario: lo que el documento no modela</w:t>
      </w:r>
    </w:p>
    <w:p>
      <w:pPr>
        <w:jc w:val="both"/>
      </w:pPr>
      <w:r>
        <w:rPr>
          <w:color w:val="333333"/>
          <w:sz w:val="21"/>
        </w:rPr>
        <w:t xml:space="preserve">Esta sección aporta los cálculos que la propuesta necesita y no tiene. Todos son reproducibles con </w:t>
      </w:r>
      <w:r>
        <w:rPr>
          <w:rFonts w:ascii="Consolas" w:hAnsi="Consolas"/>
          <w:color w:val="333333"/>
          <w:sz w:val="21"/>
        </w:rPr>
        <w:t>analisis_avanzado_almacen.py</w:t>
      </w:r>
      <w:r>
        <w:rPr>
          <w:color w:val="333333"/>
          <w:sz w:val="21"/>
        </w:rPr>
        <w:t>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6.1 Sensibilidad cruzada: jornada contra disponibilidad</w:t>
      </w:r>
    </w:p>
    <w:p>
      <w:pPr>
        <w:jc w:val="both"/>
      </w:pPr>
      <w:r>
        <w:rPr>
          <w:color w:val="333333"/>
          <w:sz w:val="21"/>
        </w:rPr>
        <w:t>La demanda del documento está medida por presencia, así que la parte del día a día escala con la jornada, mientras las tareas omitidas recurrentes (65 HH) son trabajo absoluto y no escalan. FTE totales requeridos: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11"/>
        <w:gridCol w:w="1482"/>
        <w:gridCol w:w="1482"/>
        <w:gridCol w:w="1482"/>
        <w:gridCol w:w="1419"/>
        <w:gridCol w:w="1482"/>
      </w:tblGrid>
      <w:tr>
        <w:trPr>
          <w:tblHeader w:val="true"/>
        </w:trPr>
        <w:tc>
          <w:tcPr>
            <w:tcW w:type="dxa" w:w="201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Jornada neta</w:t>
            </w:r>
          </w:p>
        </w:tc>
        <w:tc>
          <w:tcPr>
            <w:tcW w:type="dxa" w:w="148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78 %</w:t>
            </w:r>
          </w:p>
        </w:tc>
        <w:tc>
          <w:tcPr>
            <w:tcW w:type="dxa" w:w="148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82 %</w:t>
            </w:r>
          </w:p>
        </w:tc>
        <w:tc>
          <w:tcPr>
            <w:tcW w:type="dxa" w:w="148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85 %</w:t>
            </w:r>
          </w:p>
        </w:tc>
        <w:tc>
          <w:tcPr>
            <w:tcW w:type="dxa" w:w="142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88 %</w:t>
            </w:r>
          </w:p>
        </w:tc>
        <w:tc>
          <w:tcPr>
            <w:tcW w:type="dxa" w:w="148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100 %</w:t>
            </w:r>
          </w:p>
        </w:tc>
      </w:tr>
      <w:tr>
        <w:tc>
          <w:tcPr>
            <w:tcW w:type="dxa" w:w="201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7.50 h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11.17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10.62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10.25</w:t>
            </w:r>
          </w:p>
        </w:tc>
        <w:tc>
          <w:tcPr>
            <w:tcW w:type="dxa" w:w="142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9.90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8.71</w:t>
            </w:r>
          </w:p>
        </w:tc>
      </w:tr>
      <w:tr>
        <w:tc>
          <w:tcPr>
            <w:tcW w:type="dxa" w:w="201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8.00 h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11.03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10.49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10.12</w:t>
            </w:r>
          </w:p>
        </w:tc>
        <w:tc>
          <w:tcPr>
            <w:tcW w:type="dxa" w:w="142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9.77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8.60</w:t>
            </w:r>
          </w:p>
        </w:tc>
      </w:tr>
      <w:tr>
        <w:tc>
          <w:tcPr>
            <w:tcW w:type="dxa" w:w="201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8.25 h (documento)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10.96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10.43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10.06</w:t>
            </w:r>
          </w:p>
        </w:tc>
        <w:tc>
          <w:tcPr>
            <w:tcW w:type="dxa" w:w="142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9.72</w:t>
            </w:r>
          </w:p>
        </w:tc>
        <w:tc>
          <w:tcPr>
            <w:tcW w:type="dxa" w:w="148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8.55</w:t>
            </w:r>
          </w:p>
        </w:tc>
      </w:tr>
      <w:tr>
        <w:tc>
          <w:tcPr>
            <w:tcW w:type="dxa" w:w="201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8.50 h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10.90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10.37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10.01</w:t>
            </w:r>
          </w:p>
        </w:tc>
        <w:tc>
          <w:tcPr>
            <w:tcW w:type="dxa" w:w="142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9.66</w:t>
            </w:r>
          </w:p>
        </w:tc>
        <w:tc>
          <w:tcPr>
            <w:tcW w:type="dxa" w:w="148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8.51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FTE requeridos según jornada neta (filas) y factor de disponibilidad (columnas)</w:t>
      </w:r>
    </w:p>
    <w:p>
      <w:pPr>
        <w:jc w:val="both"/>
      </w:pPr>
      <w:r>
        <w:rPr>
          <w:color w:val="333333"/>
          <w:sz w:val="21"/>
        </w:rPr>
        <w:t xml:space="preserve">El resultado oscila entre </w:t>
      </w:r>
      <w:r>
        <w:rPr>
          <w:b/>
          <w:color w:val="333333"/>
          <w:sz w:val="21"/>
        </w:rPr>
        <w:t>8.51 y 11.17 FTE</w:t>
      </w:r>
      <w:r>
        <w:rPr>
          <w:color w:val="333333"/>
          <w:sz w:val="21"/>
        </w:rPr>
        <w:t xml:space="preserve">: una amplitud de 2.66 personas producida solo por dos supuestos que nadie verificó. Y hay un hallazgo fino: </w:t>
      </w:r>
      <w:r>
        <w:rPr>
          <w:b/>
          <w:color w:val="333333"/>
          <w:sz w:val="21"/>
        </w:rPr>
        <w:t>la jornada casi no mueve el resultado</w:t>
      </w:r>
      <w:r>
        <w:rPr>
          <w:color w:val="333333"/>
          <w:sz w:val="21"/>
        </w:rPr>
        <w:t xml:space="preserve"> (entre 0.20 y 0.27 FTE al pasar de 7.50 h a 8.50 h, porque afecta a demanda y capacidad a la vez), mientras </w:t>
      </w:r>
      <w:r>
        <w:rPr>
          <w:b/>
          <w:color w:val="333333"/>
          <w:sz w:val="21"/>
        </w:rPr>
        <w:t>la disponibilidad lo mueve 2.41 FTE</w:t>
      </w:r>
      <w:r>
        <w:rPr>
          <w:color w:val="333333"/>
          <w:sz w:val="21"/>
        </w:rPr>
        <w:t>. El supuesto que hay que blindar con data de asistencia real es la disponibilidad, no la jornada.</w:t>
      </w:r>
    </w:p>
    <w:p>
      <w:pPr>
        <w:jc w:val="both"/>
      </w:pPr>
      <w:r>
        <w:rPr>
          <w:color w:val="333333"/>
          <w:sz w:val="21"/>
        </w:rPr>
        <w:t xml:space="preserve">Obsérvese también la columna del 100 %: a horas nominales bastan </w:t>
      </w:r>
      <w:r>
        <w:rPr>
          <w:b/>
          <w:color w:val="333333"/>
          <w:sz w:val="21"/>
        </w:rPr>
        <w:t>8.55 personas</w:t>
      </w:r>
      <w:r>
        <w:rPr>
          <w:color w:val="333333"/>
          <w:sz w:val="21"/>
        </w:rPr>
        <w:t xml:space="preserve"> para todo el trabajo recurrente, incluidas las tareas hoy desatendidas. Con 9 o 10 personas en nómina, eso confirma que el caso no puede apoyarse en la carga del día a día.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6.2 Punto de saturación de la estructura de 12 personas</w:t>
      </w:r>
    </w:p>
    <w:p>
      <w:pPr>
        <w:jc w:val="both"/>
      </w:pPr>
      <w:r>
        <w:rPr>
          <w:color w:val="333333"/>
          <w:sz w:val="21"/>
        </w:rPr>
        <w:t>Con un factor de disponibilidad del 85 % (35.06 HH efectivas por persona):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52"/>
        <w:gridCol w:w="3271"/>
        <w:gridCol w:w="3336"/>
      </w:tblGrid>
      <w:tr>
        <w:trPr>
          <w:tblHeader w:val="true"/>
        </w:trPr>
        <w:tc>
          <w:tcPr>
            <w:tcW w:type="dxa" w:w="2752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Plantilla</w:t>
            </w:r>
          </w:p>
        </w:tc>
        <w:tc>
          <w:tcPr>
            <w:tcW w:type="dxa" w:w="327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Capacidad efectiva</w:t>
            </w:r>
          </w:p>
        </w:tc>
        <w:tc>
          <w:tcPr>
            <w:tcW w:type="dxa" w:w="333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Tiendas que soporta</w:t>
            </w:r>
          </w:p>
        </w:tc>
      </w:tr>
      <w:tr>
        <w:tc>
          <w:tcPr>
            <w:tcW w:type="dxa" w:w="275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 personas</w:t>
            </w:r>
          </w:p>
        </w:tc>
        <w:tc>
          <w:tcPr>
            <w:tcW w:type="dxa" w:w="32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315.56 HH</w:t>
            </w:r>
          </w:p>
        </w:tc>
        <w:tc>
          <w:tcPr>
            <w:tcW w:type="dxa" w:w="33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6.0</w:t>
            </w:r>
          </w:p>
        </w:tc>
      </w:tr>
      <w:tr>
        <w:tc>
          <w:tcPr>
            <w:tcW w:type="dxa" w:w="275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 personas</w:t>
            </w:r>
          </w:p>
        </w:tc>
        <w:tc>
          <w:tcPr>
            <w:tcW w:type="dxa" w:w="327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350.62 HH</w:t>
            </w:r>
          </w:p>
        </w:tc>
        <w:tc>
          <w:tcPr>
            <w:tcW w:type="dxa" w:w="33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7.9</w:t>
            </w:r>
          </w:p>
        </w:tc>
      </w:tr>
      <w:tr>
        <w:tc>
          <w:tcPr>
            <w:tcW w:type="dxa" w:w="275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 personas</w:t>
            </w:r>
          </w:p>
        </w:tc>
        <w:tc>
          <w:tcPr>
            <w:tcW w:type="dxa" w:w="32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420.75 HH</w:t>
            </w:r>
          </w:p>
        </w:tc>
        <w:tc>
          <w:tcPr>
            <w:tcW w:type="dxa" w:w="33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11.7</w:t>
            </w:r>
          </w:p>
        </w:tc>
      </w:tr>
      <w:tr>
        <w:tc>
          <w:tcPr>
            <w:tcW w:type="dxa" w:w="2752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13 personas</w:t>
            </w:r>
          </w:p>
        </w:tc>
        <w:tc>
          <w:tcPr>
            <w:tcW w:type="dxa" w:w="327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455.81 HH</w:t>
            </w:r>
          </w:p>
        </w:tc>
        <w:tc>
          <w:tcPr>
            <w:tcW w:type="dxa" w:w="333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13.6</w:t>
            </w:r>
          </w:p>
        </w:tc>
      </w:tr>
      <w:tr>
        <w:tc>
          <w:tcPr>
            <w:tcW w:type="dxa" w:w="2752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14 personas</w:t>
            </w:r>
          </w:p>
        </w:tc>
        <w:tc>
          <w:tcPr>
            <w:tcW w:type="dxa" w:w="32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490.88 HH</w:t>
            </w:r>
          </w:p>
        </w:tc>
        <w:tc>
          <w:tcPr>
            <w:tcW w:type="dxa" w:w="333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15.4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Cobertura de red de tiendas por nivel de plantilla</w:t>
      </w:r>
    </w:p>
    <w:p>
      <w:pPr>
        <w:jc w:val="both"/>
      </w:pPr>
      <w:r>
        <w:rPr>
          <w:color w:val="333333"/>
          <w:sz w:val="21"/>
        </w:rPr>
        <w:t xml:space="preserve">Con 12 personas la capacidad se agota en la tienda 11.7: cubre con holgura hasta la 11ª y queda al límite al abrir la 12ª. A razón de una tienda por trimestre, </w:t>
      </w:r>
      <w:r>
        <w:rPr>
          <w:b/>
          <w:color w:val="333333"/>
          <w:sz w:val="21"/>
        </w:rPr>
        <w:t>la 13ª persona se necesita al abrir la tienda 12, es decir al cierre del mismo año que cubre el plan</w:t>
      </w:r>
      <w:r>
        <w:rPr>
          <w:color w:val="333333"/>
          <w:sz w:val="21"/>
        </w:rPr>
        <w:t>.</w:t>
      </w:r>
    </w:p>
    <w:p>
      <w:pPr>
        <w:jc w:val="both"/>
      </w:pPr>
      <w:r>
        <w:rPr>
          <w:color w:val="333333"/>
          <w:sz w:val="21"/>
        </w:rPr>
        <w:t xml:space="preserve">O sea que 12 no es «la solución del año», es la solución hasta la tienda 11 o 12. Decirlo de frente da credibilidad y evita volver a pedir plantilla sin aviso. Mejor aún: convertirlo en política, con el ratio de </w:t>
      </w:r>
      <w:r>
        <w:rPr>
          <w:b/>
          <w:color w:val="333333"/>
          <w:sz w:val="21"/>
        </w:rPr>
        <w:t>una persona por cada 1.9 tiendas nuevas</w:t>
      </w:r>
      <w:r>
        <w:rPr>
          <w:color w:val="333333"/>
          <w:sz w:val="21"/>
        </w:rPr>
        <w:t xml:space="preserve"> aprobado de antemano.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6.3 Modelo de atraso acumulado: cómo cuantificar el «riesgo de no actuar»</w:t>
      </w:r>
    </w:p>
    <w:p>
      <w:pPr>
        <w:jc w:val="both"/>
      </w:pPr>
      <w:r>
        <w:rPr>
          <w:color w:val="333333"/>
          <w:sz w:val="21"/>
        </w:rPr>
        <w:t>El documento afirma que el OTIF colapsará por debajo del 75 %, pero no lo modela. Un modelo de atraso es simple y auditable: si la demanda excede la capacidad, el trabajo no hecho no desaparece, se acumula.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63"/>
        <w:gridCol w:w="1441"/>
        <w:gridCol w:w="1441"/>
        <w:gridCol w:w="1471"/>
        <w:gridCol w:w="1471"/>
        <w:gridCol w:w="1471"/>
      </w:tblGrid>
      <w:tr>
        <w:trPr>
          <w:tblHeader w:val="true"/>
        </w:trPr>
        <w:tc>
          <w:tcPr>
            <w:tcW w:type="dxa" w:w="2064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Escenario de déficit</w:t>
            </w:r>
          </w:p>
        </w:tc>
        <w:tc>
          <w:tcPr>
            <w:tcW w:type="dxa" w:w="144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HH/semana</w:t>
            </w:r>
          </w:p>
        </w:tc>
        <w:tc>
          <w:tcPr>
            <w:tcW w:type="dxa" w:w="144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4 semanas</w:t>
            </w:r>
          </w:p>
        </w:tc>
        <w:tc>
          <w:tcPr>
            <w:tcW w:type="dxa" w:w="147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13 semanas</w:t>
            </w:r>
          </w:p>
        </w:tc>
        <w:tc>
          <w:tcPr>
            <w:tcW w:type="dxa" w:w="147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26 semanas</w:t>
            </w:r>
          </w:p>
        </w:tc>
        <w:tc>
          <w:tcPr>
            <w:tcW w:type="dxa" w:w="147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52 semanas</w:t>
            </w:r>
          </w:p>
        </w:tc>
      </w:tr>
      <w:tr>
        <w:tc>
          <w:tcPr>
            <w:tcW w:type="dxa" w:w="206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Déficit del documento (9 pers.)</w:t>
            </w:r>
          </w:p>
        </w:tc>
        <w:tc>
          <w:tcPr>
            <w:tcW w:type="dxa" w:w="14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104.00</w:t>
            </w:r>
          </w:p>
        </w:tc>
        <w:tc>
          <w:tcPr>
            <w:tcW w:type="dxa" w:w="14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416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1 352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2 704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5 408 HH</w:t>
            </w:r>
          </w:p>
        </w:tc>
      </w:tr>
      <w:tr>
        <w:tc>
          <w:tcPr>
            <w:tcW w:type="dxa" w:w="206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Déficit corregido (10 pers.)</w:t>
            </w:r>
          </w:p>
        </w:tc>
        <w:tc>
          <w:tcPr>
            <w:tcW w:type="dxa" w:w="144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62.75</w:t>
            </w:r>
          </w:p>
        </w:tc>
        <w:tc>
          <w:tcPr>
            <w:tcW w:type="dxa" w:w="144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251 HH</w:t>
            </w:r>
          </w:p>
        </w:tc>
        <w:tc>
          <w:tcPr>
            <w:tcW w:type="dxa" w:w="147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816 HH</w:t>
            </w:r>
          </w:p>
        </w:tc>
        <w:tc>
          <w:tcPr>
            <w:tcW w:type="dxa" w:w="147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1 632 HH</w:t>
            </w:r>
          </w:p>
        </w:tc>
        <w:tc>
          <w:tcPr>
            <w:tcW w:type="dxa" w:w="147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3 263 HH</w:t>
            </w:r>
          </w:p>
        </w:tc>
      </w:tr>
      <w:tr>
        <w:tc>
          <w:tcPr>
            <w:tcW w:type="dxa" w:w="206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Déficit recurrente sin REFRESH (10 pers.)</w:t>
            </w:r>
          </w:p>
        </w:tc>
        <w:tc>
          <w:tcPr>
            <w:tcW w:type="dxa" w:w="14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22.75</w:t>
            </w:r>
          </w:p>
        </w:tc>
        <w:tc>
          <w:tcPr>
            <w:tcW w:type="dxa" w:w="144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91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296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592 HH</w:t>
            </w:r>
          </w:p>
        </w:tc>
        <w:tc>
          <w:tcPr>
            <w:tcW w:type="dxa" w:w="147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1 183 HH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Atraso acumulado según el escenario de déficit</w:t>
      </w:r>
    </w:p>
    <w:p>
      <w:pPr>
        <w:jc w:val="both"/>
      </w:pPr>
      <w:r>
        <w:rPr>
          <w:color w:val="333333"/>
          <w:sz w:val="21"/>
        </w:rPr>
        <w:t>Uso recomendado: presentar el atraso acumulado en horas-hombre y traducirlo a una consecuencia medible —días de retraso en reposición, SKU sin contar, devoluciones sin procesar—. Eso reemplaza la afirmación «el OTIF colapsará» por una proyección que se puede auditar y verificar después.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6.4 Nivelación de carga: la alternativa que falta</w:t>
      </w:r>
    </w:p>
    <w:p>
      <w:pPr>
        <w:jc w:val="both"/>
      </w:pPr>
      <w:r>
        <w:rPr>
          <w:color w:val="333333"/>
          <w:sz w:val="21"/>
        </w:rPr>
        <w:t>El reabastecimiento de PT y Equipamiento son 148.50 HH/semana concentradas en tres días: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85"/>
        <w:gridCol w:w="2596"/>
        <w:gridCol w:w="3177"/>
      </w:tblGrid>
      <w:tr>
        <w:trPr>
          <w:tblHeader w:val="true"/>
        </w:trPr>
        <w:tc>
          <w:tcPr>
            <w:tcW w:type="dxa" w:w="358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Distribución</w:t>
            </w:r>
          </w:p>
        </w:tc>
        <w:tc>
          <w:tcPr>
            <w:tcW w:type="dxa" w:w="259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HH por día</w:t>
            </w:r>
          </w:p>
        </w:tc>
        <w:tc>
          <w:tcPr>
            <w:tcW w:type="dxa" w:w="317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Operadores por día</w:t>
            </w:r>
          </w:p>
        </w:tc>
      </w:tr>
      <w:tr>
        <w:tc>
          <w:tcPr>
            <w:tcW w:type="dxa" w:w="358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 días (situación actual)</w:t>
            </w:r>
          </w:p>
        </w:tc>
        <w:tc>
          <w:tcPr>
            <w:tcW w:type="dxa" w:w="259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49.50</w:t>
            </w:r>
          </w:p>
        </w:tc>
        <w:tc>
          <w:tcPr>
            <w:tcW w:type="dxa" w:w="317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6.00</w:t>
            </w:r>
          </w:p>
        </w:tc>
      </w:tr>
      <w:tr>
        <w:tc>
          <w:tcPr>
            <w:tcW w:type="dxa" w:w="358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 días</w:t>
            </w:r>
          </w:p>
        </w:tc>
        <w:tc>
          <w:tcPr>
            <w:tcW w:type="dxa" w:w="259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37.12</w:t>
            </w:r>
          </w:p>
        </w:tc>
        <w:tc>
          <w:tcPr>
            <w:tcW w:type="dxa" w:w="317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4.50</w:t>
            </w:r>
          </w:p>
        </w:tc>
      </w:tr>
      <w:tr>
        <w:tc>
          <w:tcPr>
            <w:tcW w:type="dxa" w:w="358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 días</w:t>
            </w:r>
          </w:p>
        </w:tc>
        <w:tc>
          <w:tcPr>
            <w:tcW w:type="dxa" w:w="259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29.70</w:t>
            </w:r>
          </w:p>
        </w:tc>
        <w:tc>
          <w:tcPr>
            <w:tcW w:type="dxa" w:w="317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3.60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Efecto de nivelar el reabastecimiento a lo largo de la semana</w:t>
      </w:r>
    </w:p>
    <w:p>
      <w:pPr>
        <w:jc w:val="both"/>
      </w:pPr>
      <w:r>
        <w:rPr>
          <w:color w:val="333333"/>
          <w:sz w:val="21"/>
        </w:rPr>
        <w:t xml:space="preserve">Pasar de 3 a 5 días baja el pico de 6.00 a 3.60 operadores por día y libera 19.80 HH diarias en el cuello de botella. </w:t>
      </w:r>
      <w:r>
        <w:rPr>
          <w:b/>
          <w:color w:val="333333"/>
          <w:sz w:val="21"/>
        </w:rPr>
        <w:t>No crea horas nuevas</w:t>
      </w:r>
      <w:r>
        <w:rPr>
          <w:color w:val="333333"/>
          <w:sz w:val="21"/>
        </w:rPr>
        <w:t xml:space="preserve"> —el total semanal es el mismo— pero elimina el atasco del lunes y vuelve utilizable el tiempo de jueves y viernes.</w:t>
      </w:r>
    </w:p>
    <w:p>
      <w:pPr>
        <w:jc w:val="both"/>
      </w:pPr>
      <w:r>
        <w:rPr>
          <w:color w:val="333333"/>
          <w:sz w:val="21"/>
        </w:rPr>
        <w:t xml:space="preserve">Es la primera contrapropuesta que hará la gerencia, y hay que responderla con la restricción real que lo impide: calendario de transporte, ventanas de recepción en tienda, o días de corte de producción. Si esa restricción no existe, la nivelación debe hacerse </w:t>
      </w:r>
      <w:r>
        <w:rPr>
          <w:b/>
          <w:color w:val="333333"/>
          <w:sz w:val="21"/>
        </w:rPr>
        <w:t>antes</w:t>
      </w:r>
      <w:r>
        <w:rPr>
          <w:color w:val="333333"/>
          <w:sz w:val="21"/>
        </w:rPr>
        <w:t xml:space="preserve"> de pedir plantilla.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6.5 Umbral de rentabilidad del REFRESH, sin necesidad de moneda</w:t>
      </w:r>
    </w:p>
    <w:p>
      <w:pPr>
        <w:jc w:val="both"/>
      </w:pPr>
      <w:r>
        <w:rPr>
          <w:color w:val="333333"/>
          <w:sz w:val="21"/>
        </w:rPr>
        <w:t xml:space="preserve">El umbral se puede expresar sin unidades monetarias, lo que lo vuelve universalmente válido: el costo de recuperar una pieza es </w:t>
      </w:r>
      <w:r>
        <w:rPr>
          <w:rFonts w:ascii="Consolas" w:hAnsi="Consolas"/>
          <w:color w:val="333333"/>
          <w:sz w:val="21"/>
        </w:rPr>
        <w:t>1 / ritmo</w:t>
      </w:r>
      <w:r>
        <w:rPr>
          <w:color w:val="333333"/>
          <w:sz w:val="21"/>
        </w:rPr>
        <w:t xml:space="preserve"> horas de mano de obra.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03"/>
        <w:gridCol w:w="2089"/>
        <w:gridCol w:w="2358"/>
        <w:gridCol w:w="2707"/>
      </w:tblGrid>
      <w:tr>
        <w:trPr>
          <w:tblHeader w:val="true"/>
        </w:trPr>
        <w:tc>
          <w:tcPr>
            <w:tcW w:type="dxa" w:w="2204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Ritmo</w:t>
            </w:r>
          </w:p>
        </w:tc>
        <w:tc>
          <w:tcPr>
            <w:tcW w:type="dxa" w:w="2090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HH totales</w:t>
            </w:r>
          </w:p>
        </w:tc>
        <w:tc>
          <w:tcPr>
            <w:tcW w:type="dxa" w:w="2359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Semanas a 40 HH</w:t>
            </w:r>
          </w:p>
        </w:tc>
        <w:tc>
          <w:tcPr>
            <w:tcW w:type="dxa" w:w="270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Umbral por pieza</w:t>
            </w:r>
          </w:p>
        </w:tc>
      </w:tr>
      <w:tr>
        <w:tc>
          <w:tcPr>
            <w:tcW w:type="dxa" w:w="220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20 piezas/HH</w:t>
            </w:r>
          </w:p>
        </w:tc>
        <w:tc>
          <w:tcPr>
            <w:tcW w:type="dxa" w:w="209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500.0</w:t>
            </w:r>
          </w:p>
        </w:tc>
        <w:tc>
          <w:tcPr>
            <w:tcW w:type="dxa" w:w="235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12.5</w:t>
            </w:r>
          </w:p>
        </w:tc>
        <w:tc>
          <w:tcPr>
            <w:tcW w:type="dxa" w:w="270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3.0 min de mano de obra</w:t>
            </w:r>
          </w:p>
        </w:tc>
      </w:tr>
      <w:tr>
        <w:tc>
          <w:tcPr>
            <w:tcW w:type="dxa" w:w="220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30 piezas/HH</w:t>
            </w:r>
          </w:p>
        </w:tc>
        <w:tc>
          <w:tcPr>
            <w:tcW w:type="dxa" w:w="2090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333.3</w:t>
            </w:r>
          </w:p>
        </w:tc>
        <w:tc>
          <w:tcPr>
            <w:tcW w:type="dxa" w:w="235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8.3</w:t>
            </w:r>
          </w:p>
        </w:tc>
        <w:tc>
          <w:tcPr>
            <w:tcW w:type="dxa" w:w="270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2.0 min de mano de obra</w:t>
            </w:r>
          </w:p>
        </w:tc>
      </w:tr>
      <w:tr>
        <w:tc>
          <w:tcPr>
            <w:tcW w:type="dxa" w:w="220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40 piezas/HH</w:t>
            </w:r>
          </w:p>
        </w:tc>
        <w:tc>
          <w:tcPr>
            <w:tcW w:type="dxa" w:w="2090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250.0</w:t>
            </w:r>
          </w:p>
        </w:tc>
        <w:tc>
          <w:tcPr>
            <w:tcW w:type="dxa" w:w="235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6.2</w:t>
            </w:r>
          </w:p>
        </w:tc>
        <w:tc>
          <w:tcPr>
            <w:tcW w:type="dxa" w:w="270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1.5 min de mano de obra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Valor mínimo por pieza para que el proyecto REFRESH empate</w:t>
      </w:r>
    </w:p>
    <w:p>
      <w:pPr>
        <w:jc w:val="both"/>
      </w:pPr>
      <w:r>
        <w:rPr>
          <w:color w:val="333333"/>
          <w:sz w:val="21"/>
        </w:rPr>
        <w:t xml:space="preserve">A 30 piezas por hora-hombre, el proyecto empata si cada pieza recupera el valor de </w:t>
      </w:r>
      <w:r>
        <w:rPr>
          <w:b/>
          <w:color w:val="333333"/>
          <w:sz w:val="21"/>
        </w:rPr>
        <w:t>2 minutos de mano de obra</w:t>
      </w:r>
      <w:r>
        <w:rPr>
          <w:color w:val="333333"/>
          <w:sz w:val="21"/>
        </w:rPr>
        <w:t>. Cualquier pieza de inventario de una empresa de retail vale muchísimo más que eso, incluso vendida con descuento profundo o como material.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El REFRESH es, con enorme margen, el componente más rentable y más fácil de aprobar de toda la propuesta, y hoy está enterrado como una línea de tabla. Debería ser una petición separada, autofinanciada y con recurso temporal. Sacarlo del pedido de plantilla permanente fortalece ambas peticiones a la vez.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7. El caso de negocio que falta</w:t>
      </w:r>
    </w:p>
    <w:p>
      <w:pPr>
        <w:jc w:val="both"/>
      </w:pPr>
      <w:r>
        <w:rPr>
          <w:color w:val="333333"/>
          <w:sz w:val="21"/>
        </w:rPr>
        <w:t>No hay ninguna cifra monetaria en las 8 páginas. Esta es la estructura mínima, con las fórmulas listas para rellenar con valores reales: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5"/>
        <w:gridCol w:w="2675"/>
        <w:gridCol w:w="3087"/>
        <w:gridCol w:w="2251"/>
      </w:tblGrid>
      <w:tr>
        <w:trPr>
          <w:tblHeader w:val="true"/>
        </w:trPr>
        <w:tc>
          <w:tcPr>
            <w:tcW w:type="dxa" w:w="134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7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08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251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134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67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Costo total por almacenista/año</w:t>
            </w:r>
          </w:p>
        </w:tc>
        <w:tc>
          <w:tcPr>
            <w:tcW w:type="dxa" w:w="3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salario × 12 × (1 + carga social) + dotación</w:t>
            </w:r>
          </w:p>
        </w:tc>
        <w:tc>
          <w:tcPr>
            <w:tcW w:type="dxa" w:w="225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Costo recurrente</w:t>
            </w:r>
          </w:p>
        </w:tc>
      </w:tr>
      <w:tr>
        <w:tc>
          <w:tcPr>
            <w:tcW w:type="dxa" w:w="134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Costo de la propuesta</w:t>
            </w:r>
          </w:p>
        </w:tc>
        <w:tc>
          <w:tcPr>
            <w:tcW w:type="dxa" w:w="3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(1) × número de contrataciones</w:t>
            </w:r>
          </w:p>
        </w:tc>
        <w:tc>
          <w:tcPr>
            <w:tcW w:type="dxa" w:w="225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Costo recurrente</w:t>
            </w:r>
          </w:p>
        </w:tc>
      </w:tr>
      <w:tr>
        <w:tc>
          <w:tcPr>
            <w:tcW w:type="dxa" w:w="134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67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Horas extra evitadas</w:t>
            </w:r>
          </w:p>
        </w:tc>
        <w:tc>
          <w:tcPr>
            <w:tcW w:type="dxa" w:w="3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HH extra actuales/año × tarifa hora extra</w:t>
            </w:r>
          </w:p>
        </w:tc>
        <w:tc>
          <w:tcPr>
            <w:tcW w:type="dxa" w:w="225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Ahorro recurrente</w:t>
            </w:r>
          </w:p>
        </w:tc>
      </w:tr>
      <w:tr>
        <w:tc>
          <w:tcPr>
            <w:tcW w:type="dxa" w:w="134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Reducción de merma</w:t>
            </w:r>
          </w:p>
        </w:tc>
        <w:tc>
          <w:tcPr>
            <w:tcW w:type="dxa" w:w="3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ajuste de inventario anual × % de reducción</w:t>
            </w:r>
          </w:p>
        </w:tc>
        <w:tc>
          <w:tcPr>
            <w:tcW w:type="dxa" w:w="225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Ahorro recurrente</w:t>
            </w:r>
          </w:p>
        </w:tc>
      </w:tr>
      <w:tr>
        <w:tc>
          <w:tcPr>
            <w:tcW w:type="dxa" w:w="134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67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Venta recuperada por quiebre</w:t>
            </w:r>
          </w:p>
        </w:tc>
        <w:tc>
          <w:tcPr>
            <w:tcW w:type="dxa" w:w="3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eventos de quiebre × ticket × margen</w:t>
            </w:r>
          </w:p>
        </w:tc>
        <w:tc>
          <w:tcPr>
            <w:tcW w:type="dxa" w:w="225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Ingreso recurrente</w:t>
            </w:r>
          </w:p>
        </w:tc>
      </w:tr>
      <w:tr>
        <w:tc>
          <w:tcPr>
            <w:tcW w:type="dxa" w:w="134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Beneficio recurrente total</w:t>
            </w:r>
          </w:p>
        </w:tc>
        <w:tc>
          <w:tcPr>
            <w:tcW w:type="dxa" w:w="3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(3) + (4) + (5)</w:t>
            </w:r>
          </w:p>
        </w:tc>
        <w:tc>
          <w:tcPr>
            <w:tcW w:type="dxa" w:w="225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Beneficio</w:t>
            </w:r>
          </w:p>
        </w:tc>
      </w:tr>
      <w:tr>
        <w:tc>
          <w:tcPr>
            <w:tcW w:type="dxa" w:w="134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267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Beneficio neto recurrente</w:t>
            </w:r>
          </w:p>
        </w:tc>
        <w:tc>
          <w:tcPr>
            <w:tcW w:type="dxa" w:w="3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(6) − (2)</w:t>
            </w:r>
          </w:p>
        </w:tc>
        <w:tc>
          <w:tcPr>
            <w:tcW w:type="dxa" w:w="225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Indicador</w:t>
            </w:r>
          </w:p>
        </w:tc>
      </w:tr>
      <w:tr>
        <w:tc>
          <w:tcPr>
            <w:tcW w:type="dxa" w:w="134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Payback en meses</w:t>
            </w:r>
          </w:p>
        </w:tc>
        <w:tc>
          <w:tcPr>
            <w:tcW w:type="dxa" w:w="3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(2) / ((6) / 12)</w:t>
            </w:r>
          </w:p>
        </w:tc>
        <w:tc>
          <w:tcPr>
            <w:tcW w:type="dxa" w:w="225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Indicador</w:t>
            </w:r>
          </w:p>
        </w:tc>
      </w:tr>
      <w:tr>
        <w:tc>
          <w:tcPr>
            <w:tcW w:type="dxa" w:w="134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267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Liberación REFRESH</w:t>
            </w:r>
          </w:p>
        </w:tc>
        <w:tc>
          <w:tcPr>
            <w:tcW w:type="dxa" w:w="3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10 000 piezas × costo unitario × % recuperación</w:t>
            </w:r>
          </w:p>
        </w:tc>
        <w:tc>
          <w:tcPr>
            <w:tcW w:type="dxa" w:w="2251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Caja única</w:t>
            </w:r>
          </w:p>
        </w:tc>
      </w:tr>
      <w:tr>
        <w:tc>
          <w:tcPr>
            <w:tcW w:type="dxa" w:w="134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Payback ajustado</w:t>
            </w:r>
          </w:p>
        </w:tc>
        <w:tc>
          <w:tcPr>
            <w:tcW w:type="dxa" w:w="3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((2) − (9)) / ((6) / 12)</w:t>
            </w:r>
          </w:p>
        </w:tc>
        <w:tc>
          <w:tcPr>
            <w:tcW w:type="dxa" w:w="2251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Indicador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Plantilla del caso financiero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Regla que hay que respetar: el gasto recurrente (2) se justifica con el beneficio recurrente (6). La partida (9) es un ingreso de una sola vez y no puede sostener nómina indefinida; sirve para acelerar el payback. Presentarlas mezcladas es exactamente el error del párrafo de ROI actual.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color w:val="333333"/>
          <w:sz w:val="21"/>
        </w:rPr>
        <w:t>Con esa tabla se puede afirmar algo aprobable: «el costo recurrente se paga con ahorros recurrentes, y la liberación del REFRESH acorta el payback en X meses». Hoy la propuesta no puede afirmar nada de eso.</w:t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8. Riesgos legales, laborales y de control interno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8.1 Datos de salud de personas identificables</w:t>
      </w:r>
    </w:p>
    <w:p>
      <w:pPr>
        <w:jc w:val="both"/>
      </w:pPr>
      <w:r>
        <w:rPr>
          <w:i/>
          <w:color w:val="333333"/>
          <w:sz w:val="21"/>
        </w:rPr>
        <w:t>«Intermitencia por Salud en Equipamiento (2 Almacenistas): −30 % de disponibilidad»</w:t>
      </w:r>
      <w:r>
        <w:rPr>
          <w:color w:val="333333"/>
          <w:sz w:val="21"/>
        </w:rPr>
        <w:t>. En un almacén de nueve personas eso identifica a individuos concretos y expone información médica en un documento que circulará por la junta. Es un riesgo de protección de datos y de discriminación laboral.</w:t>
      </w:r>
    </w:p>
    <w:p>
      <w:pPr>
        <w:jc w:val="both"/>
      </w:pPr>
      <w:r>
        <w:rPr>
          <w:color w:val="333333"/>
          <w:sz w:val="21"/>
        </w:rPr>
        <w:t xml:space="preserve">Corrección: </w:t>
      </w:r>
      <w:r>
        <w:rPr>
          <w:i/>
          <w:color w:val="333333"/>
          <w:sz w:val="21"/>
        </w:rPr>
        <w:t>«2 posiciones con restricciones operativas documentadas por medicina laboral (−30 % de disponibilidad efectiva)»</w:t>
      </w:r>
      <w:r>
        <w:rPr>
          <w:color w:val="333333"/>
          <w:sz w:val="21"/>
        </w:rPr>
        <w:t>, y el detalle en un anexo confidencial de Recursos Humanos.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8.2 Responsabilidad colectiva y «guardián legal»</w:t>
      </w:r>
    </w:p>
    <w:p>
      <w:pPr>
        <w:jc w:val="both"/>
      </w:pPr>
      <w:r>
        <w:rPr>
          <w:color w:val="333333"/>
          <w:sz w:val="21"/>
        </w:rPr>
        <w:t xml:space="preserve">El documento dice que cada célula </w:t>
      </w:r>
      <w:r>
        <w:rPr>
          <w:i/>
          <w:color w:val="333333"/>
          <w:sz w:val="21"/>
        </w:rPr>
        <w:t>«es el guardián legal y operativo»</w:t>
      </w:r>
      <w:r>
        <w:rPr>
          <w:color w:val="333333"/>
          <w:sz w:val="21"/>
        </w:rPr>
        <w:t xml:space="preserve"> y que </w:t>
      </w:r>
      <w:r>
        <w:rPr>
          <w:i/>
          <w:color w:val="333333"/>
          <w:sz w:val="21"/>
        </w:rPr>
        <w:t>«la responsabilidad recae directamente sobre la célula custodia»</w:t>
      </w:r>
      <w:r>
        <w:rPr>
          <w:color w:val="333333"/>
          <w:sz w:val="21"/>
        </w:rPr>
        <w:t xml:space="preserve">. En la mayoría de las legislaciones laborales de la región </w:t>
      </w:r>
      <w:r>
        <w:rPr>
          <w:b/>
          <w:color w:val="333333"/>
          <w:sz w:val="21"/>
        </w:rPr>
        <w:t>no se puede imponer responsabilidad patrimonial colectiva</w:t>
      </w:r>
      <w:r>
        <w:rPr>
          <w:color w:val="333333"/>
          <w:sz w:val="21"/>
        </w:rPr>
        <w:t xml:space="preserve"> ni descontar diferencias de inventario del salario sin un procedimiento formal.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 xml:space="preserve">Cambiar «guardián legal» por </w:t>
      </w:r>
      <w:r>
        <w:rPr>
          <w:b/>
          <w:color w:val="333333"/>
          <w:sz w:val="21"/>
        </w:rPr>
        <w:t>«responsable operativo y administrativo»</w:t>
      </w:r>
      <w:r>
        <w:rPr>
          <w:color w:val="333333"/>
          <w:sz w:val="21"/>
        </w:rPr>
        <w:t>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Definir un procedimiento documentado de investigación de diferencias con debido proceso.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 xml:space="preserve">Validar la redacción con Recursos Humanos y con el área legal </w:t>
      </w:r>
      <w:r>
        <w:rPr>
          <w:b/>
          <w:color w:val="333333"/>
          <w:sz w:val="21"/>
        </w:rPr>
        <w:t>antes</w:t>
      </w:r>
      <w:r>
        <w:rPr>
          <w:color w:val="333333"/>
          <w:sz w:val="21"/>
        </w:rPr>
        <w:t xml:space="preserve"> de presentarla.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8.3 La responsabilidad por célula también es responsabilidad diluida</w:t>
      </w:r>
    </w:p>
    <w:p>
      <w:pPr>
        <w:jc w:val="both"/>
      </w:pPr>
      <w:r>
        <w:rPr>
          <w:color w:val="333333"/>
          <w:sz w:val="21"/>
        </w:rPr>
        <w:t xml:space="preserve">El párrafo de cierre promete </w:t>
      </w:r>
      <w:r>
        <w:rPr>
          <w:i/>
          <w:color w:val="333333"/>
          <w:sz w:val="21"/>
        </w:rPr>
        <w:t>«eliminamos la responsabilidad diluida»</w:t>
      </w:r>
      <w:r>
        <w:rPr>
          <w:color w:val="333333"/>
          <w:sz w:val="21"/>
        </w:rPr>
        <w:t xml:space="preserve">, pero el modelo asigna la responsabilidad a un </w:t>
      </w:r>
      <w:r>
        <w:rPr>
          <w:b/>
          <w:color w:val="333333"/>
          <w:sz w:val="21"/>
        </w:rPr>
        <w:t>grupo de 3 a 5 personas</w:t>
      </w:r>
      <w:r>
        <w:rPr>
          <w:color w:val="333333"/>
          <w:sz w:val="21"/>
        </w:rPr>
        <w:t xml:space="preserve">. Responsabilidad de grupo </w:t>
      </w:r>
      <w:r>
        <w:rPr>
          <w:i/>
          <w:color w:val="333333"/>
          <w:sz w:val="21"/>
        </w:rPr>
        <w:t>es</w:t>
      </w:r>
      <w:r>
        <w:rPr>
          <w:color w:val="333333"/>
          <w:sz w:val="21"/>
        </w:rPr>
        <w:t xml:space="preserve"> responsabilidad diluida: cuando falte una pieza en la Célula 2 habrá cinco personas y ningún responsable.</w:t>
      </w:r>
    </w:p>
    <w:p>
      <w:pPr>
        <w:jc w:val="both"/>
      </w:pPr>
      <w:r>
        <w:rPr>
          <w:color w:val="333333"/>
          <w:sz w:val="21"/>
        </w:rPr>
        <w:t xml:space="preserve">Corrección: </w:t>
      </w:r>
      <w:r>
        <w:rPr>
          <w:b/>
          <w:color w:val="333333"/>
          <w:sz w:val="21"/>
        </w:rPr>
        <w:t>custodio nombrado por ubicación y por turno</w:t>
      </w:r>
      <w:r>
        <w:rPr>
          <w:color w:val="333333"/>
          <w:sz w:val="21"/>
        </w:rPr>
        <w:t>, con acta de relevo firmada en cada cambio y control dual —dos firmas— en las transferencias entre células. Eso sí elimina la dilución.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8.4 La autoauditoría rompe la segregación de funciones</w:t>
      </w:r>
    </w:p>
    <w:p>
      <w:pPr>
        <w:jc w:val="both"/>
      </w:pPr>
      <w:r>
        <w:rPr>
          <w:i/>
          <w:color w:val="333333"/>
          <w:sz w:val="21"/>
        </w:rPr>
        <w:t>«Cada célula dedica las últimas 2 horas a auditar su propia ubicación (Self-Audit)»</w:t>
      </w:r>
      <w:r>
        <w:rPr>
          <w:color w:val="333333"/>
          <w:sz w:val="21"/>
        </w:rPr>
        <w:t>. El custodio contando su propio stock es un control débil: quien puede causar la diferencia no debe ser quien la reporta. Cualquier auditor lo marca de inmediato.</w:t>
      </w:r>
    </w:p>
    <w:p>
      <w:pPr>
        <w:jc w:val="both"/>
      </w:pPr>
      <w:r>
        <w:rPr>
          <w:color w:val="333333"/>
          <w:sz w:val="21"/>
        </w:rPr>
        <w:t xml:space="preserve">Corrección: </w:t>
      </w:r>
      <w:r>
        <w:rPr>
          <w:b/>
          <w:color w:val="333333"/>
          <w:sz w:val="21"/>
        </w:rPr>
        <w:t>conteo cruzado</w:t>
      </w:r>
      <w:r>
        <w:rPr>
          <w:color w:val="333333"/>
          <w:sz w:val="21"/>
        </w:rPr>
        <w:t xml:space="preserve"> —la Célula 1 cuenta a la 2 y viceversa— con validación y muestreo independiente por el Analista de Inventarios. El autoconteo sirve como control interno de la célula, pero no como el conteo cíclico oficial.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8.5 El acceso restringido choca con la cobertura de ausencias</w:t>
      </w:r>
    </w:p>
    <w:p>
      <w:pPr>
        <w:jc w:val="both"/>
      </w:pPr>
      <w:r>
        <w:rPr>
          <w:i/>
          <w:color w:val="333333"/>
          <w:sz w:val="21"/>
        </w:rPr>
        <w:t>«Acceso restringido únicamente para los almacenistas asignados a esa Célula»</w:t>
      </w:r>
      <w:r>
        <w:rPr>
          <w:color w:val="333333"/>
          <w:sz w:val="21"/>
        </w:rPr>
        <w:t xml:space="preserve"> entra en conflicto directo con el argumento de la Célula 2 (</w:t>
      </w:r>
      <w:r>
        <w:rPr>
          <w:i/>
          <w:color w:val="333333"/>
          <w:sz w:val="21"/>
        </w:rPr>
        <w:t>«se absorben las bajas por ausentismo y vacaciones»</w:t>
      </w:r>
      <w:r>
        <w:rPr>
          <w:color w:val="333333"/>
          <w:sz w:val="21"/>
        </w:rPr>
        <w:t>) y crea puntos únicos de falla cuando la célula completa está ausente. También hay que revisar accesos de emergencia y rutas de evacuación.</w:t>
      </w:r>
    </w:p>
    <w:p>
      <w:pPr>
        <w:jc w:val="both"/>
      </w:pPr>
      <w:r>
        <w:rPr>
          <w:color w:val="333333"/>
          <w:sz w:val="21"/>
        </w:rPr>
        <w:t>Corrección: matriz de delegación de custodia con acta de traspaso temporal, más un plan de polivalencia documentado.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8.6 Juicios subjetivos sobre el personal</w:t>
      </w:r>
    </w:p>
    <w:p>
      <w:pPr>
        <w:jc w:val="both"/>
      </w:pPr>
      <w:r>
        <w:rPr>
          <w:i/>
          <w:color w:val="333333"/>
          <w:sz w:val="21"/>
        </w:rPr>
        <w:t>«Aliviar la lenta curva del nuevo elemento y la baja responsabilidad reportada»</w:t>
      </w:r>
      <w:r>
        <w:rPr>
          <w:color w:val="333333"/>
          <w:sz w:val="21"/>
        </w:rPr>
        <w:t xml:space="preserve">. Esto es subjetivo, no está sustentado y </w:t>
      </w:r>
      <w:r>
        <w:rPr>
          <w:b/>
          <w:color w:val="333333"/>
          <w:sz w:val="21"/>
        </w:rPr>
        <w:t>le da a la gerencia un argumento en contra</w:t>
      </w:r>
      <w:r>
        <w:rPr>
          <w:color w:val="333333"/>
          <w:sz w:val="21"/>
        </w:rPr>
        <w:t>: si el problema es desempeño o responsabilidad, la respuesta es gestión de desempeño, no contratar más gente. Eliminar o reemplazar por métricas: líneas por hora, tasa de error, cumplimiento de conteos.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8.7 Metas absolutas no medibles y sin línea base</w:t>
      </w:r>
    </w:p>
    <w:p>
      <w:pPr>
        <w:jc w:val="both"/>
      </w:pPr>
      <w:r>
        <w:rPr>
          <w:color w:val="333333"/>
          <w:sz w:val="21"/>
        </w:rPr>
        <w:t>«Cero Averías en Carga» no es una meta gestionable; corresponde «menos del 0.1 % de unidades dañadas en carga». Y ninguno de los KPI tiene línea base: se piden ERI mayor al 98 %, OTIF mayor al 95 % y errores de picking menores al 0.5 % sin decir en cuánto están hoy, con lo cual es imposible demostrar mejora ni medir el retorno.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9. Datos que hay que levantar antes de presentar</w:t>
      </w:r>
    </w:p>
    <w:p>
      <w:pPr>
        <w:jc w:val="both"/>
      </w:pPr>
      <w:r>
        <w:rPr>
          <w:color w:val="333333"/>
          <w:sz w:val="21"/>
        </w:rPr>
        <w:t>Sin esto la propuesta es opinión bien formateada. Con esto es irrebatible de verdad.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9.1 Generadores de volumen (últimas 8 a 13 semanas, del WMS o ERP)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Líneas y pedidos por día, por canal: tienda, web, chat, corporativo.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Unidades y bultos despachados por tienda por semana.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Recepciones por día: contenedores, pallets, bultos, órdenes de compra.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Devoluciones recibidas por semana y su antigüedad de proceso.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Órdenes de producción atendidas por día en Materias Primas.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9.2 Tiempos estándar (estudio de tiempos o timestamps del WMS)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Minutos por línea de picking, por tipo de producto: manufacturado contra volumétrico.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Minutos por bulto en recepción, conteo y control de calidad.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Minutos por SKU en conteo cíclico.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9.3 Personas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Asistencia y ausentismo real de los últimos 12 meses. Esto reemplaza el supuesto del −30 %.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Horas extra pagadas y su costo. Es el argumento monetario más fácil de conseguir.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Rotación y tiempo real de maduración de un almacenista nuevo. Esto sustenta o descarta el −40 %.</w:t>
      </w:r>
    </w:p>
    <w:p>
      <w:pPr>
        <w:pStyle w:val="ListBullet"/>
        <w:spacing w:after="60"/>
        <w:jc w:val="both"/>
      </w:pPr>
      <w:r>
        <w:rPr>
          <w:b/>
          <w:color w:val="333333"/>
          <w:sz w:val="21"/>
        </w:rPr>
        <w:t>Nómina de plantilla actual firmada: ¿son 9 o son 10?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9.4 Desempeño actual (líneas base de los KPI)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OTIF a tiendas, ERI por familia, exactitud de picking, dock-to-stock, atraso acumulado en HH.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9.5 Dinero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Valuación del inventario REFRESH y escenarios de recuperación.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Merma y ajustes de inventario de los últimos 12 meses.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Costo total anual de un almacenista: salario más cargas más dotación.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9.6 Restricciones físicas</w:t>
      </w:r>
    </w:p>
    <w:p>
      <w:pPr>
        <w:pStyle w:val="ListBullet"/>
        <w:spacing w:after="60"/>
        <w:jc w:val="both"/>
      </w:pPr>
      <w:r>
        <w:rPr>
          <w:color w:val="333333"/>
          <w:sz w:val="21"/>
        </w:rPr>
        <w:t>Montacargas, escáneres, andenes, ventanas de recepción, metros de rack disponibles.</w:t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10. Modelo recomendado: mismo objetivo, argumento defendible</w:t>
      </w:r>
    </w:p>
    <w:p>
      <w:pPr>
        <w:jc w:val="both"/>
      </w:pPr>
      <w:r>
        <w:rPr>
          <w:color w:val="333333"/>
          <w:sz w:val="21"/>
        </w:rPr>
        <w:t xml:space="preserve">Sustituir las deducciones ad hoc por un </w:t>
      </w:r>
      <w:r>
        <w:rPr>
          <w:b/>
          <w:color w:val="333333"/>
          <w:sz w:val="21"/>
        </w:rPr>
        <w:t>factor de disponibilidad</w:t>
      </w:r>
      <w:r>
        <w:rPr>
          <w:color w:val="333333"/>
          <w:sz w:val="21"/>
        </w:rPr>
        <w:t xml:space="preserve"> estándar aplicado de forma uniforme: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464"/>
      </w:tblGrid>
      <w:tr>
        <w:trPr>
          <w:tblHeader w:val="true"/>
        </w:trPr>
        <w:tc>
          <w:tcPr>
            <w:tcW w:type="dxa" w:w="489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464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Porcentaje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Vacaciones (15 días / 260)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5.77 %</w:t>
            </w:r>
          </w:p>
        </w:tc>
      </w:tr>
      <w:tr>
        <w:tc>
          <w:tcPr>
            <w:tcW w:type="dxa" w:w="489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Feriados (11 días / 260)</w:t>
            </w:r>
          </w:p>
        </w:tc>
        <w:tc>
          <w:tcPr>
            <w:tcW w:type="dxa" w:w="446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4.23 %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Ausentismo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3.00 %</w:t>
            </w:r>
          </w:p>
        </w:tc>
      </w:tr>
      <w:tr>
        <w:tc>
          <w:tcPr>
            <w:tcW w:type="dxa" w:w="489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Formación y reuniones</w:t>
            </w:r>
          </w:p>
        </w:tc>
        <w:tc>
          <w:tcPr>
            <w:tcW w:type="dxa" w:w="446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2.00 %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Factor de disponibilidad resultante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85.0 %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Construcción del factor de disponibilidad</w:t>
      </w:r>
    </w:p>
    <w:p>
      <w:pPr>
        <w:spacing w:before="120" w:after="160"/>
        <w:ind w:left="317"/>
        <w:shd w:val="clear" w:color="auto" w:fill="F4F4F4"/>
        <w:pBdr>
          <w:left w:val="single" w:sz="12" w:space="8" w:color="9AA5B1"/>
        </w:pBdr>
      </w:pPr>
      <w:r>
        <w:rPr>
          <w:rFonts w:ascii="Consolas" w:hAnsi="Consolas"/>
          <w:color w:val="333333"/>
          <w:sz w:val="19"/>
        </w:rPr>
        <w:t>HH efectivas por FTE = 41.25 × 0.85 = 35.06 HH/semana</w:t>
        <w:br/>
        <w:br/>
        <w:t>Demanda recurrente (sin REFRESH, que es proyecto):</w:t>
        <w:br/>
        <w:t xml:space="preserve">  287.75 (día a día) + 30 (conteos) + 15 (5S) + 20 (devoluciones) = 352.75 HH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69"/>
        <w:gridCol w:w="2795"/>
        <w:gridCol w:w="2795"/>
      </w:tblGrid>
      <w:tr>
        <w:trPr>
          <w:tblHeader w:val="true"/>
        </w:trPr>
        <w:tc>
          <w:tcPr>
            <w:tcW w:type="dxa" w:w="3769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79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2795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FTE requeridos</w:t>
            </w:r>
          </w:p>
        </w:tc>
      </w:tr>
      <w:tr>
        <w:tc>
          <w:tcPr>
            <w:tcW w:type="dxa" w:w="376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Situación actual</w:t>
            </w:r>
          </w:p>
        </w:tc>
        <w:tc>
          <w:tcPr>
            <w:tcW w:type="dxa" w:w="279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352.75 / 35.06</w:t>
            </w:r>
          </w:p>
        </w:tc>
        <w:tc>
          <w:tcPr>
            <w:tcW w:type="dxa" w:w="2795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10.06</w:t>
            </w:r>
          </w:p>
        </w:tc>
      </w:tr>
      <w:tr>
        <w:tc>
          <w:tcPr>
            <w:tcW w:type="dxa" w:w="376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 12 meses, con 4 tiendas nuevas</w:t>
            </w:r>
          </w:p>
        </w:tc>
        <w:tc>
          <w:tcPr>
            <w:tcW w:type="dxa" w:w="279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427.00 / 35.06</w:t>
            </w:r>
          </w:p>
        </w:tc>
        <w:tc>
          <w:tcPr>
            <w:tcW w:type="dxa" w:w="2795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12.18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Dotación requerida con el modelo recomendado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Conclusión: 12 personas es el número correcto, pero por razones distintas a las del documento. El modelo así construido sobrevive el escrutinio; el actual no.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color w:val="333333"/>
          <w:sz w:val="21"/>
        </w:rPr>
        <w:t xml:space="preserve">El costo marginal por tienda queda además en una cifra limpia y reutilizable: </w:t>
      </w:r>
      <w:r>
        <w:rPr>
          <w:rFonts w:ascii="Consolas" w:hAnsi="Consolas"/>
          <w:color w:val="333333"/>
          <w:sz w:val="21"/>
        </w:rPr>
        <w:t>18.56 HH / 35.06 HH = 0.53 FTE por tienda nueva</w:t>
      </w:r>
      <w:r>
        <w:rPr>
          <w:color w:val="333333"/>
          <w:sz w:val="21"/>
        </w:rPr>
        <w:t xml:space="preserve">, es decir </w:t>
      </w:r>
      <w:r>
        <w:rPr>
          <w:b/>
          <w:color w:val="333333"/>
          <w:sz w:val="21"/>
        </w:rPr>
        <w:t>un almacenista por cada dos tiendas que se abran</w:t>
      </w:r>
      <w:r>
        <w:rPr>
          <w:color w:val="333333"/>
          <w:sz w:val="21"/>
        </w:rPr>
        <w:t>. Ese ratio convierte la propuesta en una política aprobada de antemano, en lugar de una pelea recurrente en cada apertura.</w:t>
      </w:r>
    </w:p>
    <w:p>
      <w:pPr>
        <w:keepNext/>
        <w:spacing w:before="280" w:after="100"/>
      </w:pPr>
      <w:r>
        <w:rPr>
          <w:b/>
          <w:color w:val="2E6DA4"/>
          <w:sz w:val="25"/>
        </w:rPr>
        <w:t>10.1 Petición recomendada, por fases y con disparadores objetivos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1.</w:t>
        <w:tab/>
      </w:r>
      <w:r>
        <w:rPr>
          <w:b/>
          <w:color w:val="333333"/>
          <w:sz w:val="21"/>
        </w:rPr>
        <w:t>Un almacenista ahora</w:t>
      </w:r>
      <w:r>
        <w:rPr>
          <w:color w:val="333333"/>
          <w:sz w:val="21"/>
        </w:rPr>
        <w:t>, que es lo que el modelo sostiene contra una plantilla de 9 (10.06 requeridos menos 9 actuales = 1.06 FTE), para arrancar conteos cíclicos, 5S y devoluciones de forma sostenible.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2.</w:t>
        <w:tab/>
      </w:r>
      <w:r>
        <w:rPr>
          <w:b/>
          <w:color w:val="333333"/>
          <w:sz w:val="21"/>
        </w:rPr>
        <w:t>Uno por cada dos tiendas nuevas</w:t>
      </w:r>
      <w:r>
        <w:rPr>
          <w:color w:val="333333"/>
          <w:sz w:val="21"/>
        </w:rPr>
        <w:t xml:space="preserve"> (0.53 FTE por tienda), con disparador por KPI —OTIF por debajo del 95 % o atraso acumulado sobre X HH— y no por calendario. Con cuatro aperturas: dos personas más, llegando a </w:t>
      </w:r>
      <w:r>
        <w:rPr>
          <w:b/>
          <w:color w:val="333333"/>
          <w:sz w:val="21"/>
        </w:rPr>
        <w:t>12 al cabo de las cuatro aperturas</w:t>
      </w:r>
      <w:r>
        <w:rPr>
          <w:color w:val="333333"/>
          <w:sz w:val="21"/>
        </w:rPr>
        <w:t>, que es exactamente el objetivo de la propuesta original.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3.</w:t>
        <w:tab/>
      </w:r>
      <w:r>
        <w:rPr>
          <w:b/>
          <w:color w:val="333333"/>
          <w:sz w:val="21"/>
        </w:rPr>
        <w:t>Recurso temporal dedicado al REFRESH</w:t>
      </w:r>
      <w:r>
        <w:rPr>
          <w:color w:val="333333"/>
          <w:sz w:val="21"/>
        </w:rPr>
        <w:t xml:space="preserve"> (6 a 13 semanas según el ritmo real), financiado contra la caja liberada del propio inventario. Es el componente más fácil de aprobar porque se autofinancia de verdad.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4.</w:t>
        <w:tab/>
      </w:r>
      <w:r>
        <w:rPr>
          <w:b/>
          <w:color w:val="333333"/>
          <w:sz w:val="21"/>
        </w:rPr>
        <w:t>Nivelar la carga de Lunes-Miércoles a Lunes-Viernes</w:t>
      </w:r>
      <w:r>
        <w:rPr>
          <w:color w:val="333333"/>
          <w:sz w:val="21"/>
        </w:rPr>
        <w:t xml:space="preserve"> antes o en paralelo, y reportar el resultado. Demuestra que se agotó la eficiencia antes de pedir plantilla, que es exactamente lo que la gerencia quiere ver.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5.</w:t>
        <w:tab/>
      </w:r>
      <w:r>
        <w:rPr>
          <w:b/>
          <w:color w:val="333333"/>
          <w:sz w:val="21"/>
        </w:rPr>
        <w:t>No reducir Equipamiento de 3 a 2 operadores.</w:t>
      </w:r>
      <w:r>
        <w:rPr>
          <w:color w:val="333333"/>
          <w:sz w:val="21"/>
        </w:rPr>
        <w:t xml:space="preserve"> Si el frente volumétrico crece, la Célula 2 debe mantener 3 + 3 y crecer, no redistribuirse a 3 + 2.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Advertencia honesta: si la plantilla real es 10 y no 9, el déficit de hoy es apenas 0.06 FTE y la contratación inmediata no se sostiene por sí sola; todo el caso pasa a descansar en la expansión y en el pico Lunes-Miércoles. Es otra razón para resolver primero el conteo de cabezas: define si la petición es «necesitamos gente ya» o «necesitamos un plan de contratación atado a las aperturas». Las dos son aprobables; sostener la primera con datos de la segunda, no.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11. Reestructuración sugerida del documento</w:t>
      </w:r>
    </w:p>
    <w:p>
      <w:pPr>
        <w:jc w:val="both"/>
      </w:pPr>
      <w:r>
        <w:rPr>
          <w:color w:val="333333"/>
          <w:sz w:val="21"/>
        </w:rPr>
        <w:t>El documento actual mezcla dos propuestas distintas —aumento de plantilla y modelo de gobierno de custodia— y arranca por la metodología en lugar de por la petición. Estructura recomendada: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1.</w:t>
        <w:tab/>
      </w:r>
      <w:r>
        <w:rPr>
          <w:b/>
          <w:color w:val="333333"/>
          <w:sz w:val="21"/>
        </w:rPr>
        <w:t>Resumen ejecutivo (media página).</w:t>
      </w:r>
      <w:r>
        <w:rPr>
          <w:color w:val="333333"/>
          <w:sz w:val="21"/>
        </w:rPr>
        <w:t xml:space="preserve"> La petición, el costo, el beneficio, el payback y el riesgo de no actuar. En números. Una junta decide aquí; el resto es respaldo.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2.</w:t>
        <w:tab/>
      </w:r>
      <w:r>
        <w:rPr>
          <w:b/>
          <w:color w:val="333333"/>
          <w:sz w:val="21"/>
        </w:rPr>
        <w:t>Situación actual con datos duros.</w:t>
      </w:r>
      <w:r>
        <w:rPr>
          <w:color w:val="333333"/>
          <w:sz w:val="21"/>
        </w:rPr>
        <w:t xml:space="preserve"> Volúmenes, KPI actuales contra objetivo, perfil de carga por día. El gráfico del perfil semanal es la pieza más persuasiva disponible.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3.</w:t>
        <w:tab/>
      </w:r>
      <w:r>
        <w:rPr>
          <w:b/>
          <w:color w:val="333333"/>
          <w:sz w:val="21"/>
        </w:rPr>
        <w:t>Modelo de dotación.</w:t>
      </w:r>
      <w:r>
        <w:rPr>
          <w:color w:val="333333"/>
          <w:sz w:val="21"/>
        </w:rPr>
        <w:t xml:space="preserve"> Fórmula, supuestos declarados en tabla, factor de disponibilidad, demanda por generador de volumen, escenarios y sensibilidad.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4.</w:t>
        <w:tab/>
      </w:r>
      <w:r>
        <w:rPr>
          <w:b/>
          <w:color w:val="333333"/>
          <w:sz w:val="21"/>
        </w:rPr>
        <w:t>Alternativas evaluadas y por qué no bastan.</w:t>
      </w:r>
      <w:r>
        <w:rPr>
          <w:color w:val="333333"/>
          <w:sz w:val="21"/>
        </w:rPr>
        <w:t xml:space="preserve"> Incluyendo nivelación de carga y horas extra, con costo.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5.</w:t>
        <w:tab/>
      </w:r>
      <w:r>
        <w:rPr>
          <w:b/>
          <w:color w:val="333333"/>
          <w:sz w:val="21"/>
        </w:rPr>
        <w:t>Petición por fases con disparadores</w:t>
      </w:r>
      <w:r>
        <w:rPr>
          <w:color w:val="333333"/>
          <w:sz w:val="21"/>
        </w:rPr>
        <w:t>, vinculada a KPI y no a calendario.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6.</w:t>
        <w:tab/>
      </w:r>
      <w:r>
        <w:rPr>
          <w:b/>
          <w:color w:val="333333"/>
          <w:sz w:val="21"/>
        </w:rPr>
        <w:t>Caso financiero.</w:t>
      </w:r>
      <w:r>
        <w:rPr>
          <w:color w:val="333333"/>
          <w:sz w:val="21"/>
        </w:rPr>
        <w:t xml:space="preserve"> Costo recurrente contra ahorro recurrente; el REFRESH como caja única.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7.</w:t>
        <w:tab/>
      </w:r>
      <w:r>
        <w:rPr>
          <w:b/>
          <w:color w:val="333333"/>
          <w:sz w:val="21"/>
        </w:rPr>
        <w:t>Plan de implementación.</w:t>
      </w:r>
      <w:r>
        <w:rPr>
          <w:color w:val="333333"/>
          <w:sz w:val="21"/>
        </w:rPr>
        <w:t xml:space="preserve"> Células, RACI, hitos, quién mide qué y con qué frecuencia.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8.</w:t>
        <w:tab/>
      </w:r>
      <w:r>
        <w:rPr>
          <w:b/>
          <w:color w:val="333333"/>
          <w:sz w:val="21"/>
        </w:rPr>
        <w:t>Anexos.</w:t>
      </w:r>
      <w:r>
        <w:rPr>
          <w:color w:val="333333"/>
          <w:sz w:val="21"/>
        </w:rPr>
        <w:t xml:space="preserve"> Metodología OLE, data cruda, glosario y modelo de custodia.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F6E3"/>
          </w:tcPr>
          <w:p>
            <w:pPr>
              <w:spacing w:before="80" w:after="80"/>
              <w:jc w:val="both"/>
            </w:pPr>
            <w:r>
              <w:rPr>
                <w:color w:val="5C3D00"/>
                <w:sz w:val="21"/>
              </w:rPr>
              <w:t>Presentar el modelo de custodia como propuesta separada o como anexo. No requiere presupuesto y demuestra que el equipo ya está mejorando el control con los recursos que tiene. Mezclado con la petición de plantilla se lee como relleno; separado, construye credibilidad para la petición.</w:t>
            </w:r>
          </w:p>
        </w:tc>
      </w:tr>
    </w:tbl>
    <w:p>
      <w:pPr>
        <w:spacing w:after="40"/>
      </w:pP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12. Correcciones de redacción y presentación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7"/>
        <w:gridCol w:w="3234"/>
        <w:gridCol w:w="3168"/>
      </w:tblGrid>
      <w:tr>
        <w:trPr>
          <w:tblHeader w:val="true"/>
        </w:trPr>
        <w:tc>
          <w:tcPr>
            <w:tcW w:type="dxa" w:w="295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Texto actual</w:t>
            </w:r>
          </w:p>
        </w:tc>
        <w:tc>
          <w:tcPr>
            <w:tcW w:type="dxa" w:w="3234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16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Corrección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 xml:space="preserve">«propuesta </w:t>
            </w:r>
            <w:r>
              <w:rPr>
                <w:b/>
                <w:color w:val="333333"/>
                <w:sz w:val="19"/>
              </w:rPr>
              <w:t>irrebatible</w:t>
            </w:r>
            <w:r>
              <w:rPr>
                <w:color w:val="333333"/>
                <w:sz w:val="19"/>
              </w:rPr>
              <w:t xml:space="preserve"> de Clase Mundial»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Autopromoción; invita a refutarla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Eliminar. Que lo diga la data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</w:t>
            </w:r>
            <w:r>
              <w:rPr>
                <w:b/>
                <w:color w:val="333333"/>
                <w:sz w:val="19"/>
              </w:rPr>
              <w:t>he procesado</w:t>
            </w:r>
            <w:r>
              <w:rPr>
                <w:color w:val="333333"/>
                <w:sz w:val="19"/>
              </w:rPr>
              <w:t xml:space="preserve"> la data… transformar </w:t>
            </w:r>
            <w:r>
              <w:rPr>
                <w:b/>
                <w:color w:val="333333"/>
                <w:sz w:val="19"/>
              </w:rPr>
              <w:t>tu</w:t>
            </w:r>
            <w:r>
              <w:rPr>
                <w:color w:val="333333"/>
                <w:sz w:val="19"/>
              </w:rPr>
              <w:t xml:space="preserve"> panorama»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Voz personal y consultiva; parece dirigido al solicitante, no a la junta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Voz institucional: «El área de Almacén presenta…»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«Clase Mundial», «blindado», «irrebatible»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Adjetivación repetida sin sustento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Reemplazar por cifras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«Eficiencia General de Personal» contra «de los Equipos»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Se contradice; traducción incorrecta de OEE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Usar OLE (Overall Labor Effectiveness)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«Capacidad Instalada»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Vocabulario de maquinaria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«Capacidad de mano de obra» o «modelo de dotación»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OTIF, ERI, SLA, MP, PT, 5S, ABC, WMS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Siglas sin definir; ERI se define solo en la última página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Definir en el primer uso, más glosario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«10.000 piezas muertas»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Informal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«inventario obsoleto y de baja rotación»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 xml:space="preserve">«el nuevo </w:t>
            </w:r>
            <w:r>
              <w:rPr>
                <w:b/>
                <w:color w:val="333333"/>
                <w:sz w:val="19"/>
              </w:rPr>
              <w:t>elemento</w:t>
            </w:r>
            <w:r>
              <w:rPr>
                <w:color w:val="333333"/>
                <w:sz w:val="19"/>
              </w:rPr>
              <w:t xml:space="preserve">», «los 12 </w:t>
            </w:r>
            <w:r>
              <w:rPr>
                <w:b/>
                <w:color w:val="333333"/>
                <w:sz w:val="19"/>
              </w:rPr>
              <w:t>elementos</w:t>
            </w:r>
            <w:r>
              <w:rPr>
                <w:color w:val="333333"/>
                <w:sz w:val="19"/>
              </w:rPr>
              <w:t>»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Deshumanizante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«almacenista», «integrantes del equipo»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rFonts w:ascii="Consolas" w:hAnsi="Consolas"/>
                <w:color w:val="333333"/>
                <w:sz w:val="19"/>
              </w:rPr>
              <w:t>$\times$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Artefacto de LaTeX sin renderizar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×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Tablas desmaquetadas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Encabezados partidos, ilegibles al exportar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Rehacer maquetación y verificar el PDF final</w:t>
            </w:r>
          </w:p>
        </w:tc>
      </w:tr>
      <w:tr>
        <w:tc>
          <w:tcPr>
            <w:tcW w:type="dxa" w:w="295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Sin fecha, autor, versión ni fuente</w:t>
            </w:r>
          </w:p>
        </w:tc>
        <w:tc>
          <w:tcPr>
            <w:tcW w:type="dxa" w:w="3234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No es citable ni auditable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Portada con fecha, autor, versión, fuente (WMS/ERP) y periodo medido</w:t>
            </w:r>
          </w:p>
        </w:tc>
      </w:tr>
      <w:tr>
        <w:tc>
          <w:tcPr>
            <w:tcW w:type="dxa" w:w="295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«Horas-Hombre»</w:t>
            </w:r>
          </w:p>
        </w:tc>
        <w:tc>
          <w:tcPr>
            <w:tcW w:type="dxa" w:w="3234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Lenguaje no inclusivo (opcional)</w:t>
            </w:r>
          </w:p>
        </w:tc>
        <w:tc>
          <w:tcPr>
            <w:tcW w:type="dxa" w:w="316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«horas-persona (HP)»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Correcciones de redacción</w:t>
      </w:r>
    </w:p>
    <w:p>
      <w:r>
        <w:br w:type="page"/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13. Anexo: verificación cifra por cifra</w:t>
      </w:r>
    </w:p>
    <w:p>
      <w:pPr>
        <w:jc w:val="both"/>
      </w:pPr>
      <w:r>
        <w:rPr>
          <w:color w:val="333333"/>
          <w:sz w:val="21"/>
        </w:rPr>
        <w:t>Resultado del recálculo independiente de cada cifra publicada en el documento original.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28"/>
        <w:gridCol w:w="2087"/>
        <w:gridCol w:w="2356"/>
        <w:gridCol w:w="2087"/>
      </w:tblGrid>
      <w:tr>
        <w:trPr>
          <w:tblHeader w:val="true"/>
        </w:trPr>
        <w:tc>
          <w:tcPr>
            <w:tcW w:type="dxa" w:w="2829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Cifra del documento</w:t>
            </w:r>
          </w:p>
        </w:tc>
        <w:tc>
          <w:tcPr>
            <w:tcW w:type="dxa" w:w="208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Valor publicado</w:t>
            </w:r>
          </w:p>
        </w:tc>
        <w:tc>
          <w:tcPr>
            <w:tcW w:type="dxa" w:w="2356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Valor recalculado</w:t>
            </w:r>
          </w:p>
        </w:tc>
        <w:tc>
          <w:tcPr>
            <w:tcW w:type="dxa" w:w="2088"/>
            <w:shd w:val="clear" w:color="auto" w:fill="1F3B60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Jornada diaria contra horario 8:15-16:45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8.25 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8.50 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Discrepancia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Horas teóricas semanales (9 pers.)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371.25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371.25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Vacaciones (1 almacenista)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41.25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41.25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Intermitencia por salud (2 pers., −30 %)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24.75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24.75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Curva de aprendizaje (1 nuevo, −40 %)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16.50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16.50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Pérdidas totales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Capacidad real efectiva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288.75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288.75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Utilización real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77.7 %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77.78 %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Redondeo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Pedidos web más cuadro chat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15.00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15.00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Reabastecimiento tienda nueva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16.25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16.25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Consumibles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25.50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25.50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Reabastecimiento PT Manufacturado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74.25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74.25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Reabastecimiento PT Equipamiento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74.25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74.25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Materias primas e insumos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82.50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Subtotal carga operativa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287.75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287.75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Absorción de la capacidad real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99.6 %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99.65 %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Truncamiento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Total tareas omitidas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105.00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105.00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Demanda total real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392.75 HH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392.75 HH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Brecha operativa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104.00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104.00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Brecha en FTE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2.5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2.52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Personas en la tabla de demanda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9 (implícito)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10 nombradas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Contradicción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Suma de las células propuestas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3+5+2+2 = 12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Correcto</w:t>
            </w:r>
          </w:p>
        </w:tc>
      </w:tr>
      <w:tr>
        <w:tc>
          <w:tcPr>
            <w:tcW w:type="dxa" w:w="282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Conteos cíclicos: demanda contra protocolo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30.0 HH</w:t>
            </w:r>
          </w:p>
        </w:tc>
        <w:tc>
          <w:tcPr>
            <w:tcW w:type="dxa" w:w="2356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24.0 HH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Contradicción</w:t>
            </w:r>
          </w:p>
        </w:tc>
      </w:tr>
      <w:tr>
        <w:tc>
          <w:tcPr>
            <w:tcW w:type="dxa" w:w="2829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Incremento por tienda nueva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12.5 % constante</w:t>
            </w:r>
          </w:p>
        </w:tc>
        <w:tc>
          <w:tcPr>
            <w:tcW w:type="dxa" w:w="2356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12.5 → 9.1 % decreciente</w:t>
            </w:r>
          </w:p>
        </w:tc>
        <w:tc>
          <w:tcPr>
            <w:tcW w:type="dxa" w:w="2088"/>
            <w:shd w:val="clear" w:color="auto" w:fill="F2F5F9"/>
          </w:tcPr>
          <w:p>
            <w:pPr>
              <w:spacing w:after="40" w:before="40"/>
            </w:pPr>
            <w:r>
              <w:rPr>
                <w:color w:val="333333"/>
                <w:sz w:val="19"/>
              </w:rPr>
              <w:t>Error conceptual</w:t>
            </w:r>
          </w:p>
        </w:tc>
      </w:tr>
    </w:tbl>
    <w:p>
      <w:pPr>
        <w:spacing w:before="60" w:after="200"/>
      </w:pPr>
      <w:r>
        <w:rPr>
          <w:i/>
          <w:color w:val="595959"/>
          <w:sz w:val="17"/>
        </w:rPr>
        <w:t>Verificación completa. Toda la aritmética publicada es correcta; los problemas están en los supuestos y en la consistencia entre secciones.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9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a_carga_almacen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Perfil de carga por día reconstruido desde la tabla del documento (izquierda) y rango de respuestas que la misma data soporta según el supuesto elegido (derecha).</w:t>
      </w:r>
    </w:p>
    <w:p>
      <w:pPr>
        <w:keepNext/>
        <w:spacing w:before="360" w:after="180"/>
        <w:pBdr>
          <w:bottom w:val="single" w:sz="8" w:space="4" w:color="2E6DA4"/>
        </w:pBdr>
      </w:pPr>
      <w:r>
        <w:rPr>
          <w:b/>
          <w:color w:val="1F3B60"/>
          <w:sz w:val="32"/>
        </w:rPr>
        <w:t>14. Resumen de acción</w:t>
      </w:r>
    </w:p>
    <w:p>
      <w:pPr>
        <w:jc w:val="both"/>
      </w:pPr>
      <w:r>
        <w:rPr>
          <w:color w:val="333333"/>
          <w:sz w:val="21"/>
        </w:rPr>
        <w:t>Los tres pasos con mayor impacto sobre la probabilidad de aprobación, en orden: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1.</w:t>
        <w:tab/>
      </w:r>
      <w:r>
        <w:rPr>
          <w:b/>
          <w:color w:val="333333"/>
          <w:sz w:val="21"/>
        </w:rPr>
        <w:t>Resolver «¿son 9 o son 10?» con la nómina firmada.</w:t>
      </w:r>
      <w:r>
        <w:rPr>
          <w:color w:val="333333"/>
          <w:sz w:val="21"/>
        </w:rPr>
        <w:t xml:space="preserve"> Define si la petición es «necesitamos gente ya» o «necesitamos un plan atado a las aperturas», y determina si la frase del 99.6 % puede seguir en el documento.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2.</w:t>
        <w:tab/>
      </w:r>
      <w:r>
        <w:rPr>
          <w:b/>
          <w:color w:val="333333"/>
          <w:sz w:val="21"/>
        </w:rPr>
        <w:t>Responder de frente la pregunta de jueves y viernes.</w:t>
      </w:r>
      <w:r>
        <w:rPr>
          <w:color w:val="333333"/>
          <w:sz w:val="21"/>
        </w:rPr>
        <w:t xml:space="preserve"> Hay 124.75 HH nominales sin asignar contra 105 HH de tareas omitidas. Hay que explicar con data de asistencia y de atrasos por qué la nivelación de carga no basta.</w:t>
      </w:r>
    </w:p>
    <w:p>
      <w:pPr>
        <w:spacing w:after="60"/>
        <w:ind w:left="490" w:hanging="490"/>
        <w:jc w:val="both"/>
      </w:pPr>
      <w:r>
        <w:rPr>
          <w:b/>
          <w:color w:val="2E6DA4"/>
          <w:sz w:val="21"/>
        </w:rPr>
        <w:t>3.</w:t>
        <w:tab/>
      </w:r>
      <w:r>
        <w:rPr>
          <w:b/>
          <w:color w:val="333333"/>
          <w:sz w:val="21"/>
        </w:rPr>
        <w:t>Rehacer el número con el factor de disponibilidad.</w:t>
      </w:r>
      <w:r>
        <w:rPr>
          <w:color w:val="333333"/>
          <w:sz w:val="21"/>
        </w:rPr>
        <w:t xml:space="preserve"> Reemplaza el «3 es el número exacto» por 10.06 FTE hoy y 12.18 a doce meses, con el ratio de una persona por cada dos tiendas como política.</w:t>
      </w:r>
    </w:p>
    <w:p>
      <w:pPr>
        <w:jc w:val="both"/>
      </w:pPr>
      <w:r>
        <w:rPr>
          <w:color w:val="333333"/>
          <w:sz w:val="21"/>
        </w:rPr>
        <w:t>Y eliminar «se autofinancia» del párrafo de retorno hasta tener la tabla de costo recurrente contra ahorro recurrente. Es la frase que un director financiero usará para devolver la propuesta.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Auditoría técnica — Propuesta de plantilla Almacén Fábrica    |   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