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30608" w14:textId="77777777" w:rsidR="00CC7184" w:rsidRPr="00CC7184" w:rsidRDefault="00CC7184" w:rsidP="00CC7184">
      <w:pPr>
        <w:rPr>
          <w:b/>
          <w:bCs/>
        </w:rPr>
      </w:pPr>
      <w:r w:rsidRPr="00CC7184">
        <w:rPr>
          <w:b/>
          <w:bCs/>
        </w:rPr>
        <w:t>Customer Churn Prediction: High Dimensional Statistical Analysis</w:t>
      </w:r>
    </w:p>
    <w:p w14:paraId="4ECF0839" w14:textId="68182A60" w:rsidR="00CC7184" w:rsidRPr="00CC7184" w:rsidRDefault="00CC7184" w:rsidP="00CC7184">
      <w:r w:rsidRPr="00CC7184">
        <w:rPr>
          <w:b/>
          <w:bCs/>
        </w:rPr>
        <w:t>Executive Summary</w:t>
      </w:r>
      <w:r w:rsidRPr="00CC7184">
        <w:t>:</w:t>
      </w:r>
      <w:r w:rsidRPr="00CC7184">
        <w:br/>
        <w:t xml:space="preserve">This analysis of the Telco Customer Churn dataset employs Principal Component Analysis (PCA) and classification techniques to uncover drivers of customer churn, informing retention strategies. PCA reveals that </w:t>
      </w:r>
      <w:proofErr w:type="spellStart"/>
      <w:r w:rsidRPr="00CC7184">
        <w:t>MonthlyCharges</w:t>
      </w:r>
      <w:proofErr w:type="spellEnd"/>
      <w:r w:rsidRPr="00CC7184">
        <w:t xml:space="preserve">, </w:t>
      </w:r>
      <w:proofErr w:type="spellStart"/>
      <w:r w:rsidRPr="00CC7184">
        <w:t>TotalCharges</w:t>
      </w:r>
      <w:proofErr w:type="spellEnd"/>
      <w:r w:rsidRPr="00CC7184">
        <w:t xml:space="preserve">, and tenure account for 39.21% of variance in PC1, with tenure and contract type driving PC2 (18.68%). Logistic Regression achieved the highest predictive accuracy (0.82), followed by Random Forest (0.79) and K-Nearest </w:t>
      </w:r>
      <w:proofErr w:type="spellStart"/>
      <w:r w:rsidRPr="00CC7184">
        <w:t>Neighbors</w:t>
      </w:r>
      <w:proofErr w:type="spellEnd"/>
      <w:r w:rsidRPr="00CC7184">
        <w:t xml:space="preserve"> (KNN, 0.80). Random Forest highlights </w:t>
      </w:r>
      <w:proofErr w:type="spellStart"/>
      <w:r w:rsidRPr="00CC7184">
        <w:t>TotalCharges</w:t>
      </w:r>
      <w:proofErr w:type="spellEnd"/>
      <w:r w:rsidRPr="00CC7184">
        <w:t xml:space="preserve">, tenure, and </w:t>
      </w:r>
      <w:proofErr w:type="spellStart"/>
      <w:r w:rsidRPr="00CC7184">
        <w:t>MonthlyCharges</w:t>
      </w:r>
      <w:proofErr w:type="spellEnd"/>
      <w:r w:rsidRPr="00CC7184">
        <w:t xml:space="preserve"> as key predictors. High-risk groups include customers with month-to-month contracts (42.71% churn), </w:t>
      </w:r>
      <w:proofErr w:type="spellStart"/>
      <w:r w:rsidRPr="00CC7184">
        <w:t>fiber</w:t>
      </w:r>
      <w:proofErr w:type="spellEnd"/>
      <w:r w:rsidRPr="00CC7184">
        <w:t xml:space="preserve"> optic services (41.89%), and electronic check payments (45.29%). Recommended actions include loyalty programs, long-term contract incentives, </w:t>
      </w:r>
      <w:proofErr w:type="spellStart"/>
      <w:r w:rsidRPr="00CC7184">
        <w:t>fiber</w:t>
      </w:r>
      <w:proofErr w:type="spellEnd"/>
      <w:r w:rsidRPr="00CC7184">
        <w:t xml:space="preserve"> optic service enhancements, and payment method improvements to reduce churn and enhance financial stability.</w:t>
      </w:r>
    </w:p>
    <w:p w14:paraId="777B4520" w14:textId="77777777" w:rsidR="00CC7184" w:rsidRPr="00CC7184" w:rsidRDefault="00CC7184" w:rsidP="00CC7184">
      <w:r w:rsidRPr="00CC7184">
        <w:pict w14:anchorId="5FEE7749">
          <v:rect id="_x0000_i1052" style="width:0;height:1.5pt" o:hralign="center" o:hrstd="t" o:hr="t" fillcolor="#a0a0a0" stroked="f"/>
        </w:pict>
      </w:r>
    </w:p>
    <w:p w14:paraId="4F17D555" w14:textId="77777777" w:rsidR="00CC7184" w:rsidRPr="00CC7184" w:rsidRDefault="00CC7184" w:rsidP="00CC7184">
      <w:pPr>
        <w:rPr>
          <w:b/>
          <w:bCs/>
        </w:rPr>
      </w:pPr>
      <w:r w:rsidRPr="00CC7184">
        <w:rPr>
          <w:b/>
          <w:bCs/>
        </w:rPr>
        <w:t>Introduction</w:t>
      </w:r>
    </w:p>
    <w:p w14:paraId="60600FB1" w14:textId="12930EA7" w:rsidR="00CC7184" w:rsidRPr="00CC7184" w:rsidRDefault="00CC7184" w:rsidP="00CC7184">
      <w:r w:rsidRPr="00CC7184">
        <w:t xml:space="preserve">Customer churn, the phenomenon of customers discontinuing services, poses a significant challenge for telecommunications companies, impacting revenue and market competitiveness. The Telco Customer Churn dataset, comprising 7,043 customer records with 21 features—spanning demographics (e.g., gender, senior citizen status), service usage (e.g., internet service type), billing details (e.g., </w:t>
      </w:r>
      <w:proofErr w:type="spellStart"/>
      <w:r w:rsidRPr="00CC7184">
        <w:t>MonthlyCharges</w:t>
      </w:r>
      <w:proofErr w:type="spellEnd"/>
      <w:r w:rsidRPr="00CC7184">
        <w:t xml:space="preserve">, </w:t>
      </w:r>
      <w:proofErr w:type="spellStart"/>
      <w:r w:rsidRPr="00CC7184">
        <w:t>TotalCharges</w:t>
      </w:r>
      <w:proofErr w:type="spellEnd"/>
      <w:r w:rsidRPr="00CC7184">
        <w:t xml:space="preserve">), and a binary churn label (26.54% churn rate)—provides a rich resource for </w:t>
      </w:r>
      <w:proofErr w:type="spellStart"/>
      <w:r w:rsidRPr="00CC7184">
        <w:t>analyzing</w:t>
      </w:r>
      <w:proofErr w:type="spellEnd"/>
      <w:r w:rsidRPr="00CC7184">
        <w:t xml:space="preserve"> churn drivers. The objective of this project is to develop predictive models and identify actionable insights to inform retention strategies, addressing a critical business need in a high-dimensional data context.</w:t>
      </w:r>
    </w:p>
    <w:p w14:paraId="6046F621" w14:textId="77777777" w:rsidR="00CC7184" w:rsidRPr="00CC7184" w:rsidRDefault="00CC7184" w:rsidP="00CC7184">
      <w:r w:rsidRPr="00CC7184">
        <w:t xml:space="preserve">Exploratory Data Analysis (EDA) uncovers pronounced patterns in churn </w:t>
      </w:r>
      <w:proofErr w:type="spellStart"/>
      <w:r w:rsidRPr="00CC7184">
        <w:t>behavior</w:t>
      </w:r>
      <w:proofErr w:type="spellEnd"/>
      <w:r w:rsidRPr="00CC7184">
        <w:t xml:space="preserve">. Customers with month-to-month contracts exhibit a 42.71% churn rate, significantly higher than those with one-year (11.27%) or two-year contracts (2.83%), suggesting contract duration as a pivotal factor (Figure 1). Fiber optic service users show a 41.89% churn rate, compared to 18.96% for DSL and 7.40% for no internet service, indicating service-specific dissatisfaction. Payment methods also influence churn, with electronic check users at 45.29% versus 15.24% for credit card (automatic) users. Senior citizens churn at 41.68%, nearly double the 23.61% rate for non-seniors. Numerical features reveal further insights: tenure averages 32.37 months (standardized mean: 0.00, Table 1), with a skew toward shorter durations, while </w:t>
      </w:r>
      <w:proofErr w:type="spellStart"/>
      <w:r w:rsidRPr="00CC7184">
        <w:t>MonthlyCharges</w:t>
      </w:r>
      <w:proofErr w:type="spellEnd"/>
      <w:r w:rsidRPr="00CC7184">
        <w:t xml:space="preserve"> and </w:t>
      </w:r>
      <w:proofErr w:type="spellStart"/>
      <w:r w:rsidRPr="00CC7184">
        <w:t>TotalCharges</w:t>
      </w:r>
      <w:proofErr w:type="spellEnd"/>
      <w:r w:rsidRPr="00CC7184">
        <w:t xml:space="preserve"> vary widely, reflecting diverse billing profiles. These findings underscore the need for advanced statistical methods to handle high-dimensional data and extract meaningful patterns.</w:t>
      </w:r>
    </w:p>
    <w:p w14:paraId="1D5D415B" w14:textId="4DA9D85A" w:rsidR="00CC7184" w:rsidRPr="00CC7184" w:rsidRDefault="00CC7184" w:rsidP="00CC7184">
      <w:r w:rsidRPr="00CC7184">
        <w:t xml:space="preserve">This report leverages Principal Component Analysis (PCA) to reduce dimensionality and uncover latent </w:t>
      </w:r>
      <w:proofErr w:type="gramStart"/>
      <w:r w:rsidRPr="00CC7184">
        <w:t>structures, and</w:t>
      </w:r>
      <w:proofErr w:type="gramEnd"/>
      <w:r w:rsidRPr="00CC7184">
        <w:t xml:space="preserve"> applies classification techniques—K-Nearest </w:t>
      </w:r>
      <w:proofErr w:type="spellStart"/>
      <w:r w:rsidRPr="00CC7184">
        <w:t>Neighbors</w:t>
      </w:r>
      <w:proofErr w:type="spellEnd"/>
      <w:r w:rsidRPr="00CC7184">
        <w:t xml:space="preserve"> (KNN), </w:t>
      </w:r>
      <w:r w:rsidRPr="00CC7184">
        <w:lastRenderedPageBreak/>
        <w:t>Random Forest, and Logistic Regression—to predict churn. By integrating these methods, the analysis aims to provide robust predictions and actionable business recommendations, contributing to strategic decision-making for customer retention.</w:t>
      </w:r>
    </w:p>
    <w:p w14:paraId="1DA11315" w14:textId="77777777" w:rsidR="00CC7184" w:rsidRPr="00CC7184" w:rsidRDefault="00CC7184" w:rsidP="00CC7184">
      <w:r w:rsidRPr="00CC7184">
        <w:rPr>
          <w:b/>
          <w:bCs/>
        </w:rPr>
        <w:t>Table 1: Summary Statistics for Numerical Features</w:t>
      </w:r>
    </w:p>
    <w:tbl>
      <w:tblPr>
        <w:tblStyle w:val="GridTable5Dark-Accent5"/>
        <w:tblW w:w="0" w:type="auto"/>
        <w:tblLook w:val="04A0" w:firstRow="1" w:lastRow="0" w:firstColumn="1" w:lastColumn="0" w:noHBand="0" w:noVBand="1"/>
      </w:tblPr>
      <w:tblGrid>
        <w:gridCol w:w="1851"/>
        <w:gridCol w:w="794"/>
        <w:gridCol w:w="978"/>
        <w:gridCol w:w="1402"/>
      </w:tblGrid>
      <w:tr w:rsidR="00CC7184" w:rsidRPr="00CC7184" w14:paraId="5E800E72" w14:textId="77777777" w:rsidTr="00CC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5C9FF" w14:textId="77777777" w:rsidR="00CC7184" w:rsidRPr="00CC7184" w:rsidRDefault="00CC7184" w:rsidP="00CC7184">
            <w:pPr>
              <w:spacing w:after="160" w:line="278" w:lineRule="auto"/>
            </w:pPr>
            <w:r w:rsidRPr="00CC7184">
              <w:t>Feature</w:t>
            </w:r>
          </w:p>
        </w:tc>
        <w:tc>
          <w:tcPr>
            <w:tcW w:w="0" w:type="auto"/>
            <w:hideMark/>
          </w:tcPr>
          <w:p w14:paraId="27030C69"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Mean</w:t>
            </w:r>
          </w:p>
        </w:tc>
        <w:tc>
          <w:tcPr>
            <w:tcW w:w="0" w:type="auto"/>
            <w:hideMark/>
          </w:tcPr>
          <w:p w14:paraId="3AFFEAA4"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Std Dev</w:t>
            </w:r>
          </w:p>
        </w:tc>
        <w:tc>
          <w:tcPr>
            <w:tcW w:w="0" w:type="auto"/>
            <w:hideMark/>
          </w:tcPr>
          <w:p w14:paraId="06D96EE5"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Range</w:t>
            </w:r>
          </w:p>
        </w:tc>
      </w:tr>
      <w:tr w:rsidR="00CC7184" w:rsidRPr="00CC7184" w14:paraId="38E20281"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721A6" w14:textId="77777777" w:rsidR="00CC7184" w:rsidRPr="00CC7184" w:rsidRDefault="00CC7184" w:rsidP="00CC7184">
            <w:pPr>
              <w:spacing w:after="160" w:line="278" w:lineRule="auto"/>
            </w:pPr>
            <w:r w:rsidRPr="00CC7184">
              <w:t>tenure</w:t>
            </w:r>
          </w:p>
        </w:tc>
        <w:tc>
          <w:tcPr>
            <w:tcW w:w="0" w:type="auto"/>
            <w:hideMark/>
          </w:tcPr>
          <w:p w14:paraId="1992CF46"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0.00</w:t>
            </w:r>
          </w:p>
        </w:tc>
        <w:tc>
          <w:tcPr>
            <w:tcW w:w="0" w:type="auto"/>
            <w:hideMark/>
          </w:tcPr>
          <w:p w14:paraId="30266E8C"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1.00</w:t>
            </w:r>
          </w:p>
        </w:tc>
        <w:tc>
          <w:tcPr>
            <w:tcW w:w="0" w:type="auto"/>
            <w:hideMark/>
          </w:tcPr>
          <w:p w14:paraId="4D6BBA97"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[-1.32, 1.61]</w:t>
            </w:r>
          </w:p>
        </w:tc>
      </w:tr>
      <w:tr w:rsidR="00CC7184" w:rsidRPr="00CC7184" w14:paraId="649CE284" w14:textId="77777777" w:rsidTr="00CC7184">
        <w:tc>
          <w:tcPr>
            <w:cnfStyle w:val="001000000000" w:firstRow="0" w:lastRow="0" w:firstColumn="1" w:lastColumn="0" w:oddVBand="0" w:evenVBand="0" w:oddHBand="0" w:evenHBand="0" w:firstRowFirstColumn="0" w:firstRowLastColumn="0" w:lastRowFirstColumn="0" w:lastRowLastColumn="0"/>
            <w:tcW w:w="0" w:type="auto"/>
            <w:hideMark/>
          </w:tcPr>
          <w:p w14:paraId="5186EBEC" w14:textId="77777777" w:rsidR="00CC7184" w:rsidRPr="00CC7184" w:rsidRDefault="00CC7184" w:rsidP="00CC7184">
            <w:pPr>
              <w:spacing w:after="160" w:line="278" w:lineRule="auto"/>
            </w:pPr>
            <w:proofErr w:type="spellStart"/>
            <w:r w:rsidRPr="00CC7184">
              <w:t>MonthlyCharges</w:t>
            </w:r>
            <w:proofErr w:type="spellEnd"/>
          </w:p>
        </w:tc>
        <w:tc>
          <w:tcPr>
            <w:tcW w:w="0" w:type="auto"/>
            <w:hideMark/>
          </w:tcPr>
          <w:p w14:paraId="4015AD80"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0.00</w:t>
            </w:r>
          </w:p>
        </w:tc>
        <w:tc>
          <w:tcPr>
            <w:tcW w:w="0" w:type="auto"/>
            <w:hideMark/>
          </w:tcPr>
          <w:p w14:paraId="1AADEF81"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1.00</w:t>
            </w:r>
          </w:p>
        </w:tc>
        <w:tc>
          <w:tcPr>
            <w:tcW w:w="0" w:type="auto"/>
            <w:hideMark/>
          </w:tcPr>
          <w:p w14:paraId="1DC9DFD6"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[-1.55, 1.79]</w:t>
            </w:r>
          </w:p>
        </w:tc>
      </w:tr>
      <w:tr w:rsidR="00CC7184" w:rsidRPr="00CC7184" w14:paraId="37D02D29"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AD09F" w14:textId="77777777" w:rsidR="00CC7184" w:rsidRPr="00CC7184" w:rsidRDefault="00CC7184" w:rsidP="00CC7184">
            <w:pPr>
              <w:spacing w:after="160" w:line="278" w:lineRule="auto"/>
            </w:pPr>
            <w:proofErr w:type="spellStart"/>
            <w:r w:rsidRPr="00CC7184">
              <w:t>TotalCharges</w:t>
            </w:r>
            <w:proofErr w:type="spellEnd"/>
          </w:p>
        </w:tc>
        <w:tc>
          <w:tcPr>
            <w:tcW w:w="0" w:type="auto"/>
            <w:hideMark/>
          </w:tcPr>
          <w:p w14:paraId="41124877"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0.00</w:t>
            </w:r>
          </w:p>
        </w:tc>
        <w:tc>
          <w:tcPr>
            <w:tcW w:w="0" w:type="auto"/>
            <w:hideMark/>
          </w:tcPr>
          <w:p w14:paraId="7572DBDD"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1.00</w:t>
            </w:r>
          </w:p>
        </w:tc>
        <w:tc>
          <w:tcPr>
            <w:tcW w:w="0" w:type="auto"/>
            <w:hideMark/>
          </w:tcPr>
          <w:p w14:paraId="526996EF"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[-0.99, 2.83]</w:t>
            </w:r>
          </w:p>
        </w:tc>
      </w:tr>
    </w:tbl>
    <w:p w14:paraId="48614BAB" w14:textId="55953F19" w:rsidR="00CC7184" w:rsidRPr="00CC7184" w:rsidRDefault="00CC7184" w:rsidP="00CC7184">
      <w:r w:rsidRPr="00CC7184">
        <w:rPr>
          <w:b/>
          <w:bCs/>
        </w:rPr>
        <w:t>Figure 1: Churn Rate by Contract Type</w:t>
      </w:r>
      <w:r w:rsidRPr="00CC7184">
        <w:br/>
      </w:r>
      <w:r w:rsidRPr="00CC7184">
        <w:rPr>
          <w:noProof/>
        </w:rPr>
        <w:drawing>
          <wp:inline distT="0" distB="0" distL="0" distR="0" wp14:anchorId="26213BFC" wp14:editId="3FB03B6F">
            <wp:extent cx="3600000" cy="2622823"/>
            <wp:effectExtent l="0" t="0" r="635" b="6350"/>
            <wp:docPr id="819836971" name="Picture 2"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36971" name="Picture 2" descr="A graph of a char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000" cy="2622823"/>
                    </a:xfrm>
                    <a:prstGeom prst="rect">
                      <a:avLst/>
                    </a:prstGeom>
                    <a:noFill/>
                    <a:ln>
                      <a:noFill/>
                    </a:ln>
                  </pic:spPr>
                </pic:pic>
              </a:graphicData>
            </a:graphic>
          </wp:inline>
        </w:drawing>
      </w:r>
    </w:p>
    <w:p w14:paraId="57A0CDCA" w14:textId="77777777" w:rsidR="00CC7184" w:rsidRPr="00CC7184" w:rsidRDefault="00CC7184" w:rsidP="00CC7184">
      <w:pPr>
        <w:rPr>
          <w:b/>
          <w:bCs/>
        </w:rPr>
      </w:pPr>
      <w:r w:rsidRPr="00CC7184">
        <w:rPr>
          <w:b/>
          <w:bCs/>
        </w:rPr>
        <w:t>Methods and Results</w:t>
      </w:r>
    </w:p>
    <w:p w14:paraId="4F03A316" w14:textId="77777777" w:rsidR="00CC7184" w:rsidRPr="00CC7184" w:rsidRDefault="00CC7184" w:rsidP="00CC7184">
      <w:pPr>
        <w:rPr>
          <w:b/>
          <w:bCs/>
        </w:rPr>
      </w:pPr>
      <w:r w:rsidRPr="00CC7184">
        <w:rPr>
          <w:b/>
          <w:bCs/>
        </w:rPr>
        <w:t>Principal Component Analysis</w:t>
      </w:r>
    </w:p>
    <w:p w14:paraId="599461A0" w14:textId="6296F775" w:rsidR="00CC7184" w:rsidRPr="00CC7184" w:rsidRDefault="00CC7184" w:rsidP="00CC7184">
      <w:r w:rsidRPr="00CC7184">
        <w:t xml:space="preserve">High-dimensional datasets, like the Telco dataset with 30 </w:t>
      </w:r>
      <w:proofErr w:type="spellStart"/>
      <w:r w:rsidRPr="00CC7184">
        <w:t>preprocessed</w:t>
      </w:r>
      <w:proofErr w:type="spellEnd"/>
      <w:r w:rsidRPr="00CC7184">
        <w:t xml:space="preserve"> features (numerical features standardized, categorical features one-hot encoded), pose challenges for analysis due to multicollinearity and computational complexity. PCA</w:t>
      </w:r>
      <w:r w:rsidR="00542029">
        <w:rPr>
          <w:rFonts w:hint="eastAsia"/>
        </w:rPr>
        <w:t xml:space="preserve"> </w:t>
      </w:r>
      <w:r w:rsidRPr="00CC7184">
        <w:t xml:space="preserve">addresses these by transforming features into orthogonal principal components that capture maximum variance. The dataset was </w:t>
      </w:r>
      <w:proofErr w:type="spellStart"/>
      <w:r w:rsidRPr="00CC7184">
        <w:t>preprocessed</w:t>
      </w:r>
      <w:proofErr w:type="spellEnd"/>
      <w:r w:rsidRPr="00CC7184">
        <w:t xml:space="preserve"> to standardize numerical features (tenure, </w:t>
      </w:r>
      <w:proofErr w:type="spellStart"/>
      <w:r w:rsidRPr="00CC7184">
        <w:t>MonthlyCharges</w:t>
      </w:r>
      <w:proofErr w:type="spellEnd"/>
      <w:r w:rsidRPr="00CC7184">
        <w:t xml:space="preserve">, </w:t>
      </w:r>
      <w:proofErr w:type="spellStart"/>
      <w:r w:rsidRPr="00CC7184">
        <w:t>TotalCharges</w:t>
      </w:r>
      <w:proofErr w:type="spellEnd"/>
      <w:r w:rsidRPr="00CC7184">
        <w:t xml:space="preserve">) and encode categorical variables (e.g., Contract, </w:t>
      </w:r>
      <w:proofErr w:type="spellStart"/>
      <w:r w:rsidRPr="00CC7184">
        <w:t>InternetService</w:t>
      </w:r>
      <w:proofErr w:type="spellEnd"/>
      <w:r w:rsidRPr="00CC7184">
        <w:t>), resulting in a 30-dimensional feature space suitable for PCA.</w:t>
      </w:r>
    </w:p>
    <w:p w14:paraId="2C7220C7" w14:textId="77777777" w:rsidR="00CC7184" w:rsidRPr="00CC7184" w:rsidRDefault="00CC7184" w:rsidP="00CC7184">
      <w:r w:rsidRPr="00CC7184">
        <w:t xml:space="preserve">The PCA results reveal significant structure. The first principal component (PC1) explains 39.21% of the total variance, driven predominantly by </w:t>
      </w:r>
      <w:proofErr w:type="spellStart"/>
      <w:r w:rsidRPr="00CC7184">
        <w:t>MonthlyCharges</w:t>
      </w:r>
      <w:proofErr w:type="spellEnd"/>
      <w:r w:rsidRPr="00CC7184">
        <w:t xml:space="preserve"> (loading: 0.502), </w:t>
      </w:r>
      <w:proofErr w:type="spellStart"/>
      <w:r w:rsidRPr="00CC7184">
        <w:t>TotalCharges</w:t>
      </w:r>
      <w:proofErr w:type="spellEnd"/>
      <w:r w:rsidRPr="00CC7184">
        <w:t xml:space="preserve"> (0.491), and tenure (0.333), indicating that billing-related attributes and customer longevity are central to data variability (Table 2). PC2 accounts for 18.68% of variance (cumulative: 57.89%), with strong contributions from tenure (0.615) and </w:t>
      </w:r>
      <w:proofErr w:type="spellStart"/>
      <w:r w:rsidRPr="00CC7184">
        <w:t>Contract_Two</w:t>
      </w:r>
      <w:proofErr w:type="spellEnd"/>
      <w:r w:rsidRPr="00CC7184">
        <w:t xml:space="preserve"> year (0.221), reflecting contract duration as a secondary pattern. PC3 </w:t>
      </w:r>
      <w:r w:rsidRPr="00CC7184">
        <w:lastRenderedPageBreak/>
        <w:t xml:space="preserve">contributes 6.10% (cumulative: 63.99%), but subsequent components have diminishing returns, as shown in the scree plot (Figure 2), which suggests retaining the first two components for interpretation. The biplot (Figure 3) visualizes customer distribution in the PC1-PC2 plane, with churned customers (red) clustering toward higher PC1 values (high charges, short tenure), and non-churned customers (blue) toward lower PC1 and higher PC2 (longer contracts), confirming distinct </w:t>
      </w:r>
      <w:proofErr w:type="spellStart"/>
      <w:r w:rsidRPr="00CC7184">
        <w:t>behavioral</w:t>
      </w:r>
      <w:proofErr w:type="spellEnd"/>
      <w:r w:rsidRPr="00CC7184">
        <w:t xml:space="preserve"> profiles.</w:t>
      </w:r>
    </w:p>
    <w:p w14:paraId="31602A1E" w14:textId="2D73677B" w:rsidR="00CC7184" w:rsidRPr="00CC7184" w:rsidRDefault="00CC7184" w:rsidP="00CC7184">
      <w:r w:rsidRPr="00CC7184">
        <w:t>PCA’s dimensionality reduction facilitates visualization and interpretation while preserving key patterns. The loadings (available in pca_loadings.csv, appendix) provide detailed feature contributions, enabling targeted business insights.</w:t>
      </w:r>
    </w:p>
    <w:p w14:paraId="513C80BD" w14:textId="77777777" w:rsidR="00CC7184" w:rsidRPr="00CC7184" w:rsidRDefault="00CC7184" w:rsidP="00CC7184">
      <w:r w:rsidRPr="00CC7184">
        <w:rPr>
          <w:b/>
          <w:bCs/>
        </w:rPr>
        <w:t>Table 2: Proportion of Variance Explained by PCA</w:t>
      </w:r>
    </w:p>
    <w:tbl>
      <w:tblPr>
        <w:tblStyle w:val="GridTable5Dark-Accent5"/>
        <w:tblW w:w="0" w:type="auto"/>
        <w:tblLook w:val="04A0" w:firstRow="1" w:lastRow="0" w:firstColumn="1" w:lastColumn="0" w:noHBand="0" w:noVBand="1"/>
      </w:tblPr>
      <w:tblGrid>
        <w:gridCol w:w="1385"/>
        <w:gridCol w:w="981"/>
        <w:gridCol w:w="2163"/>
      </w:tblGrid>
      <w:tr w:rsidR="00CC7184" w:rsidRPr="00CC7184" w14:paraId="472CC0F5" w14:textId="77777777" w:rsidTr="00CC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3A336" w14:textId="77777777" w:rsidR="00CC7184" w:rsidRPr="00CC7184" w:rsidRDefault="00CC7184" w:rsidP="00CC7184">
            <w:pPr>
              <w:spacing w:after="160" w:line="278" w:lineRule="auto"/>
            </w:pPr>
            <w:r w:rsidRPr="00CC7184">
              <w:t>Component</w:t>
            </w:r>
          </w:p>
        </w:tc>
        <w:tc>
          <w:tcPr>
            <w:tcW w:w="0" w:type="auto"/>
            <w:hideMark/>
          </w:tcPr>
          <w:p w14:paraId="07390C36"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PVE (%)</w:t>
            </w:r>
          </w:p>
        </w:tc>
        <w:tc>
          <w:tcPr>
            <w:tcW w:w="0" w:type="auto"/>
            <w:hideMark/>
          </w:tcPr>
          <w:p w14:paraId="329632EF"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Cumulative PVE (%)</w:t>
            </w:r>
          </w:p>
        </w:tc>
      </w:tr>
      <w:tr w:rsidR="00CC7184" w:rsidRPr="00CC7184" w14:paraId="50811171"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35172" w14:textId="77777777" w:rsidR="00CC7184" w:rsidRPr="00CC7184" w:rsidRDefault="00CC7184" w:rsidP="00CC7184">
            <w:pPr>
              <w:spacing w:after="160" w:line="278" w:lineRule="auto"/>
            </w:pPr>
            <w:r w:rsidRPr="00CC7184">
              <w:t>PC1</w:t>
            </w:r>
          </w:p>
        </w:tc>
        <w:tc>
          <w:tcPr>
            <w:tcW w:w="0" w:type="auto"/>
            <w:hideMark/>
          </w:tcPr>
          <w:p w14:paraId="03883F1C"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39.21</w:t>
            </w:r>
          </w:p>
        </w:tc>
        <w:tc>
          <w:tcPr>
            <w:tcW w:w="0" w:type="auto"/>
            <w:hideMark/>
          </w:tcPr>
          <w:p w14:paraId="1CE9CD98"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39.21</w:t>
            </w:r>
          </w:p>
        </w:tc>
      </w:tr>
      <w:tr w:rsidR="00CC7184" w:rsidRPr="00CC7184" w14:paraId="0255F584" w14:textId="77777777" w:rsidTr="00CC7184">
        <w:tc>
          <w:tcPr>
            <w:cnfStyle w:val="001000000000" w:firstRow="0" w:lastRow="0" w:firstColumn="1" w:lastColumn="0" w:oddVBand="0" w:evenVBand="0" w:oddHBand="0" w:evenHBand="0" w:firstRowFirstColumn="0" w:firstRowLastColumn="0" w:lastRowFirstColumn="0" w:lastRowLastColumn="0"/>
            <w:tcW w:w="0" w:type="auto"/>
            <w:hideMark/>
          </w:tcPr>
          <w:p w14:paraId="0286F1FF" w14:textId="77777777" w:rsidR="00CC7184" w:rsidRPr="00CC7184" w:rsidRDefault="00CC7184" w:rsidP="00CC7184">
            <w:pPr>
              <w:spacing w:after="160" w:line="278" w:lineRule="auto"/>
            </w:pPr>
            <w:r w:rsidRPr="00CC7184">
              <w:t>PC2</w:t>
            </w:r>
          </w:p>
        </w:tc>
        <w:tc>
          <w:tcPr>
            <w:tcW w:w="0" w:type="auto"/>
            <w:hideMark/>
          </w:tcPr>
          <w:p w14:paraId="0DFE843A"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18.68</w:t>
            </w:r>
          </w:p>
        </w:tc>
        <w:tc>
          <w:tcPr>
            <w:tcW w:w="0" w:type="auto"/>
            <w:hideMark/>
          </w:tcPr>
          <w:p w14:paraId="78236E93"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57.89</w:t>
            </w:r>
          </w:p>
        </w:tc>
      </w:tr>
      <w:tr w:rsidR="00CC7184" w:rsidRPr="00CC7184" w14:paraId="6555A3E3"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B88306" w14:textId="77777777" w:rsidR="00CC7184" w:rsidRPr="00CC7184" w:rsidRDefault="00CC7184" w:rsidP="00CC7184">
            <w:pPr>
              <w:spacing w:after="160" w:line="278" w:lineRule="auto"/>
            </w:pPr>
            <w:r w:rsidRPr="00CC7184">
              <w:t>PC3</w:t>
            </w:r>
          </w:p>
        </w:tc>
        <w:tc>
          <w:tcPr>
            <w:tcW w:w="0" w:type="auto"/>
            <w:hideMark/>
          </w:tcPr>
          <w:p w14:paraId="5F874E41"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6.10</w:t>
            </w:r>
          </w:p>
        </w:tc>
        <w:tc>
          <w:tcPr>
            <w:tcW w:w="0" w:type="auto"/>
            <w:hideMark/>
          </w:tcPr>
          <w:p w14:paraId="64D1F29F"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63.99</w:t>
            </w:r>
          </w:p>
        </w:tc>
      </w:tr>
    </w:tbl>
    <w:p w14:paraId="217D2B69" w14:textId="0251A7CE" w:rsidR="00CC7184" w:rsidRPr="00CC7184" w:rsidRDefault="00CC7184" w:rsidP="00CC7184">
      <w:r w:rsidRPr="00CC7184">
        <w:rPr>
          <w:b/>
          <w:bCs/>
        </w:rPr>
        <w:t>Figure 2: Scree Plot</w:t>
      </w:r>
      <w:r w:rsidRPr="00CC7184">
        <w:br/>
      </w:r>
      <w:r w:rsidRPr="00CC7184">
        <w:rPr>
          <w:noProof/>
        </w:rPr>
        <w:drawing>
          <wp:inline distT="0" distB="0" distL="0" distR="0" wp14:anchorId="55FA38F9" wp14:editId="438425F0">
            <wp:extent cx="3600000" cy="2312519"/>
            <wp:effectExtent l="0" t="0" r="635" b="0"/>
            <wp:docPr id="2011834595" name="Picture 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4595" name="Picture 3" descr="A graph with a lin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2312519"/>
                    </a:xfrm>
                    <a:prstGeom prst="rect">
                      <a:avLst/>
                    </a:prstGeom>
                    <a:noFill/>
                    <a:ln>
                      <a:noFill/>
                    </a:ln>
                  </pic:spPr>
                </pic:pic>
              </a:graphicData>
            </a:graphic>
          </wp:inline>
        </w:drawing>
      </w:r>
    </w:p>
    <w:p w14:paraId="59F71CDB" w14:textId="25A143E1" w:rsidR="00CC7184" w:rsidRPr="00CC7184" w:rsidRDefault="00CC7184" w:rsidP="00CC7184">
      <w:r w:rsidRPr="00CC7184">
        <w:rPr>
          <w:b/>
          <w:bCs/>
        </w:rPr>
        <w:lastRenderedPageBreak/>
        <w:t>Figure 3: PCA Biplot: PC1 vs PC2</w:t>
      </w:r>
      <w:r w:rsidRPr="00CC7184">
        <w:br/>
      </w:r>
      <w:r w:rsidRPr="00CC7184">
        <w:rPr>
          <w:noProof/>
        </w:rPr>
        <w:drawing>
          <wp:inline distT="0" distB="0" distL="0" distR="0" wp14:anchorId="05731966" wp14:editId="731D3B98">
            <wp:extent cx="3600000" cy="2457700"/>
            <wp:effectExtent l="0" t="0" r="635" b="0"/>
            <wp:docPr id="1932834604" name="Picture 4" descr="A graph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34604" name="Picture 4" descr="A graph of red and blue dot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457700"/>
                    </a:xfrm>
                    <a:prstGeom prst="rect">
                      <a:avLst/>
                    </a:prstGeom>
                    <a:noFill/>
                    <a:ln>
                      <a:noFill/>
                    </a:ln>
                  </pic:spPr>
                </pic:pic>
              </a:graphicData>
            </a:graphic>
          </wp:inline>
        </w:drawing>
      </w:r>
    </w:p>
    <w:p w14:paraId="781AE2DC" w14:textId="77777777" w:rsidR="00CC7184" w:rsidRPr="00CC7184" w:rsidRDefault="00CC7184" w:rsidP="00CC7184">
      <w:pPr>
        <w:rPr>
          <w:b/>
          <w:bCs/>
        </w:rPr>
      </w:pPr>
      <w:r w:rsidRPr="00CC7184">
        <w:rPr>
          <w:b/>
          <w:bCs/>
        </w:rPr>
        <w:t>Classification</w:t>
      </w:r>
    </w:p>
    <w:p w14:paraId="3A7E01F1" w14:textId="5944A0C4" w:rsidR="00CC7184" w:rsidRPr="00CC7184" w:rsidRDefault="00CC7184" w:rsidP="00CC7184">
      <w:r w:rsidRPr="00CC7184">
        <w:t xml:space="preserve">To predict churn, three classification methods were applied: K-Nearest </w:t>
      </w:r>
      <w:proofErr w:type="spellStart"/>
      <w:r w:rsidRPr="00CC7184">
        <w:t>Neighbors</w:t>
      </w:r>
      <w:proofErr w:type="spellEnd"/>
      <w:r w:rsidRPr="00CC7184">
        <w:t xml:space="preserve"> (KNN), Random Forest, and Logistic Regression. The </w:t>
      </w:r>
      <w:proofErr w:type="spellStart"/>
      <w:r w:rsidRPr="00CC7184">
        <w:t>preprocessed</w:t>
      </w:r>
      <w:proofErr w:type="spellEnd"/>
      <w:r w:rsidRPr="00CC7184">
        <w:t xml:space="preserve"> dataset was split into 80% training (5,634 records) and 20% test (1,409 records) sets, ensuring robust model evaluation. Each method was implemented using Python’s scikit-learn library, with performance assessed via accuracy, sensitivity, specificity, and Area Under the ROC Curve (AUC.</w:t>
      </w:r>
    </w:p>
    <w:p w14:paraId="0F1D434F" w14:textId="77777777" w:rsidR="00CC7184" w:rsidRPr="00CC7184" w:rsidRDefault="00CC7184" w:rsidP="00CC7184">
      <w:r w:rsidRPr="00CC7184">
        <w:rPr>
          <w:b/>
          <w:bCs/>
        </w:rPr>
        <w:t xml:space="preserve">K-Nearest </w:t>
      </w:r>
      <w:proofErr w:type="spellStart"/>
      <w:r w:rsidRPr="00CC7184">
        <w:rPr>
          <w:b/>
          <w:bCs/>
        </w:rPr>
        <w:t>Neighbors</w:t>
      </w:r>
      <w:proofErr w:type="spellEnd"/>
      <w:r w:rsidRPr="00CC7184">
        <w:rPr>
          <w:b/>
          <w:bCs/>
        </w:rPr>
        <w:t xml:space="preserve"> (KNN)</w:t>
      </w:r>
      <w:r w:rsidRPr="00CC7184">
        <w:t xml:space="preserve">: KNN, a non-parametric method, predicts churn based on the majority class among the k nearest </w:t>
      </w:r>
      <w:proofErr w:type="spellStart"/>
      <w:r w:rsidRPr="00CC7184">
        <w:t>neighbors</w:t>
      </w:r>
      <w:proofErr w:type="spellEnd"/>
      <w:r w:rsidRPr="00CC7184">
        <w:t xml:space="preserve"> in feature space. The optimal k was selected via 5-fold cross-validation, testing k=3, 5, 7, and 10. The best performance was achieved with k=10, yielding a cross-validation accuracy of 0.7836 (Table 4). On the test set, KNN achieved an accuracy of 0.80, with a sensitivity of 0.50 (detecting 50% of churned customers) and specificity of 0.90 (correctly identifying 90% of non-churned customers). The lower sensitivity suggests KNN struggles with the imbalanced dataset (26.54% churn), as seen in its confusion matrix (available in confusion_matrix_knn.png, appendix).</w:t>
      </w:r>
    </w:p>
    <w:p w14:paraId="70ABEF7C" w14:textId="0B1A267B" w:rsidR="00CC7184" w:rsidRPr="00CC7184" w:rsidRDefault="00CC7184" w:rsidP="00CC7184">
      <w:r w:rsidRPr="00CC7184">
        <w:rPr>
          <w:b/>
          <w:bCs/>
        </w:rPr>
        <w:t>Random Forest</w:t>
      </w:r>
      <w:r w:rsidRPr="00CC7184">
        <w:t xml:space="preserve">: Random Forest, an ensemble method, builds multiple decision trees on bootstrap samples, reducing overfitting. With 100 trees, it achieved a test accuracy of 0.79, sensitivity of 0.46, and specificity of 0.91. Feature importance analysis (Table 3) identifies </w:t>
      </w:r>
      <w:proofErr w:type="spellStart"/>
      <w:r w:rsidRPr="00CC7184">
        <w:t>TotalCharges</w:t>
      </w:r>
      <w:proofErr w:type="spellEnd"/>
      <w:r w:rsidRPr="00CC7184">
        <w:t xml:space="preserve"> (0.190), tenure (0.176), and </w:t>
      </w:r>
      <w:proofErr w:type="spellStart"/>
      <w:r w:rsidRPr="00CC7184">
        <w:t>MonthlyCharges</w:t>
      </w:r>
      <w:proofErr w:type="spellEnd"/>
      <w:r w:rsidRPr="00CC7184">
        <w:t xml:space="preserve"> (0.172) as top predictors, followed by </w:t>
      </w:r>
      <w:proofErr w:type="spellStart"/>
      <w:r w:rsidRPr="00CC7184">
        <w:t>InternetService_Fiber</w:t>
      </w:r>
      <w:proofErr w:type="spellEnd"/>
      <w:r w:rsidRPr="00CC7184">
        <w:t xml:space="preserve"> optic (0.036) and </w:t>
      </w:r>
      <w:proofErr w:type="spellStart"/>
      <w:r w:rsidRPr="00CC7184">
        <w:t>PaymentMethod_Electronic</w:t>
      </w:r>
      <w:proofErr w:type="spellEnd"/>
      <w:r w:rsidRPr="00CC7184">
        <w:t xml:space="preserve"> check (0.035), corroborating PCA’s billing and tenure focus. The confusion matrix (Figure 5, appendix) shows Random Forest’s strength in identifying non-churned customers but limited sensitivity for churned ones, likely due to class imbalance.</w:t>
      </w:r>
    </w:p>
    <w:p w14:paraId="0F0F5452" w14:textId="0542E749" w:rsidR="00CC7184" w:rsidRPr="00CC7184" w:rsidRDefault="00CC7184" w:rsidP="00CC7184">
      <w:r w:rsidRPr="00CC7184">
        <w:rPr>
          <w:b/>
          <w:bCs/>
        </w:rPr>
        <w:t>Logistic Regression</w:t>
      </w:r>
      <w:r w:rsidRPr="00CC7184">
        <w:t xml:space="preserve">: Logistic Regression, a parametric method, models the probability of churn using a logistic function. With a maximum of 1,000 iterations for convergence, it outperformed others, achieving an accuracy of 0.82, sensitivity of 0.60, specificity of 0.90, and AUC of 0.75 (Table 4). The ROC curves (Figure 4) confirm Logistic Regression’s superior </w:t>
      </w:r>
      <w:r w:rsidRPr="00CC7184">
        <w:lastRenderedPageBreak/>
        <w:t>discriminative ability. Its confusion matrix (Figure 5) indicates balanced performance, making it suitable for churn prediction in this context.</w:t>
      </w:r>
    </w:p>
    <w:p w14:paraId="5A229365" w14:textId="2BADDF7C" w:rsidR="00CC7184" w:rsidRPr="00CC7184" w:rsidRDefault="00CC7184" w:rsidP="00CC7184">
      <w:r w:rsidRPr="00CC7184">
        <w:t>The models’ performance, visualized in ROC curves (Figure 4), highlights Logistic Regression’s edge, with Random Forest and KNN showing competitive but slightly lower AUCs. Cross-validation ensures robust error estimation. The alignment of Random Forest’s feature importance with PCA loadings underscores the consistency of findings across methods, enhancing confidence in the results.</w:t>
      </w:r>
    </w:p>
    <w:p w14:paraId="7B7D8013" w14:textId="77777777" w:rsidR="00CC7184" w:rsidRPr="00CC7184" w:rsidRDefault="00CC7184" w:rsidP="00CC7184">
      <w:r w:rsidRPr="00CC7184">
        <w:rPr>
          <w:b/>
          <w:bCs/>
        </w:rPr>
        <w:t>Table 3: Random Forest Feature Importance (Top 5)</w:t>
      </w:r>
    </w:p>
    <w:tbl>
      <w:tblPr>
        <w:tblStyle w:val="GridTable5Dark-Accent5"/>
        <w:tblW w:w="0" w:type="auto"/>
        <w:tblLook w:val="04A0" w:firstRow="1" w:lastRow="0" w:firstColumn="1" w:lastColumn="0" w:noHBand="0" w:noVBand="1"/>
      </w:tblPr>
      <w:tblGrid>
        <w:gridCol w:w="3611"/>
        <w:gridCol w:w="1368"/>
      </w:tblGrid>
      <w:tr w:rsidR="00CC7184" w:rsidRPr="00CC7184" w14:paraId="0710AA63" w14:textId="77777777" w:rsidTr="00CC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758CF" w14:textId="77777777" w:rsidR="00CC7184" w:rsidRPr="00CC7184" w:rsidRDefault="00CC7184" w:rsidP="00CC7184">
            <w:pPr>
              <w:spacing w:after="160" w:line="278" w:lineRule="auto"/>
            </w:pPr>
            <w:r w:rsidRPr="00CC7184">
              <w:t>Feature</w:t>
            </w:r>
          </w:p>
        </w:tc>
        <w:tc>
          <w:tcPr>
            <w:tcW w:w="0" w:type="auto"/>
            <w:hideMark/>
          </w:tcPr>
          <w:p w14:paraId="6706B312"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Importance</w:t>
            </w:r>
          </w:p>
        </w:tc>
      </w:tr>
      <w:tr w:rsidR="00CC7184" w:rsidRPr="00CC7184" w14:paraId="661B12BE"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653A36" w14:textId="77777777" w:rsidR="00CC7184" w:rsidRPr="00CC7184" w:rsidRDefault="00CC7184" w:rsidP="00CC7184">
            <w:pPr>
              <w:spacing w:after="160" w:line="278" w:lineRule="auto"/>
            </w:pPr>
            <w:proofErr w:type="spellStart"/>
            <w:r w:rsidRPr="00CC7184">
              <w:t>TotalCharges</w:t>
            </w:r>
            <w:proofErr w:type="spellEnd"/>
          </w:p>
        </w:tc>
        <w:tc>
          <w:tcPr>
            <w:tcW w:w="0" w:type="auto"/>
            <w:hideMark/>
          </w:tcPr>
          <w:p w14:paraId="3776DD78"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0.190</w:t>
            </w:r>
          </w:p>
        </w:tc>
      </w:tr>
      <w:tr w:rsidR="00CC7184" w:rsidRPr="00CC7184" w14:paraId="4B77AC23" w14:textId="77777777" w:rsidTr="00CC7184">
        <w:tc>
          <w:tcPr>
            <w:cnfStyle w:val="001000000000" w:firstRow="0" w:lastRow="0" w:firstColumn="1" w:lastColumn="0" w:oddVBand="0" w:evenVBand="0" w:oddHBand="0" w:evenHBand="0" w:firstRowFirstColumn="0" w:firstRowLastColumn="0" w:lastRowFirstColumn="0" w:lastRowLastColumn="0"/>
            <w:tcW w:w="0" w:type="auto"/>
            <w:hideMark/>
          </w:tcPr>
          <w:p w14:paraId="37AAEE2C" w14:textId="77777777" w:rsidR="00CC7184" w:rsidRPr="00CC7184" w:rsidRDefault="00CC7184" w:rsidP="00CC7184">
            <w:pPr>
              <w:spacing w:after="160" w:line="278" w:lineRule="auto"/>
            </w:pPr>
            <w:r w:rsidRPr="00CC7184">
              <w:t>tenure</w:t>
            </w:r>
          </w:p>
        </w:tc>
        <w:tc>
          <w:tcPr>
            <w:tcW w:w="0" w:type="auto"/>
            <w:hideMark/>
          </w:tcPr>
          <w:p w14:paraId="337FDE15"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0.176</w:t>
            </w:r>
          </w:p>
        </w:tc>
      </w:tr>
      <w:tr w:rsidR="00CC7184" w:rsidRPr="00CC7184" w14:paraId="703918FD"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1392C1" w14:textId="77777777" w:rsidR="00CC7184" w:rsidRPr="00CC7184" w:rsidRDefault="00CC7184" w:rsidP="00CC7184">
            <w:pPr>
              <w:spacing w:after="160" w:line="278" w:lineRule="auto"/>
            </w:pPr>
            <w:proofErr w:type="spellStart"/>
            <w:r w:rsidRPr="00CC7184">
              <w:t>MonthlyCharges</w:t>
            </w:r>
            <w:proofErr w:type="spellEnd"/>
          </w:p>
        </w:tc>
        <w:tc>
          <w:tcPr>
            <w:tcW w:w="0" w:type="auto"/>
            <w:hideMark/>
          </w:tcPr>
          <w:p w14:paraId="0EF1E05D"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0.172</w:t>
            </w:r>
          </w:p>
        </w:tc>
      </w:tr>
      <w:tr w:rsidR="00CC7184" w:rsidRPr="00CC7184" w14:paraId="22827EB7" w14:textId="77777777" w:rsidTr="00CC7184">
        <w:tc>
          <w:tcPr>
            <w:cnfStyle w:val="001000000000" w:firstRow="0" w:lastRow="0" w:firstColumn="1" w:lastColumn="0" w:oddVBand="0" w:evenVBand="0" w:oddHBand="0" w:evenHBand="0" w:firstRowFirstColumn="0" w:firstRowLastColumn="0" w:lastRowFirstColumn="0" w:lastRowLastColumn="0"/>
            <w:tcW w:w="0" w:type="auto"/>
            <w:hideMark/>
          </w:tcPr>
          <w:p w14:paraId="59808D82" w14:textId="77777777" w:rsidR="00CC7184" w:rsidRPr="00CC7184" w:rsidRDefault="00CC7184" w:rsidP="00CC7184">
            <w:pPr>
              <w:spacing w:after="160" w:line="278" w:lineRule="auto"/>
            </w:pPr>
            <w:proofErr w:type="spellStart"/>
            <w:r w:rsidRPr="00CC7184">
              <w:t>InternetService_Fiber</w:t>
            </w:r>
            <w:proofErr w:type="spellEnd"/>
            <w:r w:rsidRPr="00CC7184">
              <w:t xml:space="preserve"> optic</w:t>
            </w:r>
          </w:p>
        </w:tc>
        <w:tc>
          <w:tcPr>
            <w:tcW w:w="0" w:type="auto"/>
            <w:hideMark/>
          </w:tcPr>
          <w:p w14:paraId="33C187C6"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0.036</w:t>
            </w:r>
          </w:p>
        </w:tc>
      </w:tr>
      <w:tr w:rsidR="00CC7184" w:rsidRPr="00CC7184" w14:paraId="775B7695"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43E669" w14:textId="77777777" w:rsidR="00CC7184" w:rsidRPr="00CC7184" w:rsidRDefault="00CC7184" w:rsidP="00CC7184">
            <w:pPr>
              <w:spacing w:after="160" w:line="278" w:lineRule="auto"/>
            </w:pPr>
            <w:proofErr w:type="spellStart"/>
            <w:r w:rsidRPr="00CC7184">
              <w:t>PaymentMethod_Electronic</w:t>
            </w:r>
            <w:proofErr w:type="spellEnd"/>
            <w:r w:rsidRPr="00CC7184">
              <w:t xml:space="preserve"> check</w:t>
            </w:r>
          </w:p>
        </w:tc>
        <w:tc>
          <w:tcPr>
            <w:tcW w:w="0" w:type="auto"/>
            <w:hideMark/>
          </w:tcPr>
          <w:p w14:paraId="5EEAF8E6"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0.035</w:t>
            </w:r>
          </w:p>
        </w:tc>
      </w:tr>
    </w:tbl>
    <w:p w14:paraId="0AE1199C" w14:textId="77777777" w:rsidR="00CC7184" w:rsidRPr="00CC7184" w:rsidRDefault="00CC7184" w:rsidP="00CC7184">
      <w:r w:rsidRPr="00CC7184">
        <w:rPr>
          <w:b/>
          <w:bCs/>
        </w:rPr>
        <w:t>Table 4: Classification Performance Metrics</w:t>
      </w:r>
    </w:p>
    <w:tbl>
      <w:tblPr>
        <w:tblStyle w:val="GridTable5Dark-Accent5"/>
        <w:tblW w:w="0" w:type="auto"/>
        <w:tblLook w:val="04A0" w:firstRow="1" w:lastRow="0" w:firstColumn="1" w:lastColumn="0" w:noHBand="0" w:noVBand="1"/>
      </w:tblPr>
      <w:tblGrid>
        <w:gridCol w:w="2086"/>
        <w:gridCol w:w="1104"/>
        <w:gridCol w:w="1244"/>
        <w:gridCol w:w="1228"/>
        <w:gridCol w:w="642"/>
      </w:tblGrid>
      <w:tr w:rsidR="00CC7184" w:rsidRPr="00CC7184" w14:paraId="3685927C" w14:textId="77777777" w:rsidTr="00CC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0234D" w14:textId="77777777" w:rsidR="00CC7184" w:rsidRPr="00CC7184" w:rsidRDefault="00CC7184" w:rsidP="00CC7184">
            <w:pPr>
              <w:spacing w:after="160" w:line="278" w:lineRule="auto"/>
            </w:pPr>
            <w:r w:rsidRPr="00CC7184">
              <w:t>Model</w:t>
            </w:r>
          </w:p>
        </w:tc>
        <w:tc>
          <w:tcPr>
            <w:tcW w:w="0" w:type="auto"/>
            <w:hideMark/>
          </w:tcPr>
          <w:p w14:paraId="32773291"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Accuracy</w:t>
            </w:r>
          </w:p>
        </w:tc>
        <w:tc>
          <w:tcPr>
            <w:tcW w:w="0" w:type="auto"/>
            <w:hideMark/>
          </w:tcPr>
          <w:p w14:paraId="21DBA63D"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Sensitivity</w:t>
            </w:r>
          </w:p>
        </w:tc>
        <w:tc>
          <w:tcPr>
            <w:tcW w:w="0" w:type="auto"/>
            <w:hideMark/>
          </w:tcPr>
          <w:p w14:paraId="02854988"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Specificity</w:t>
            </w:r>
          </w:p>
        </w:tc>
        <w:tc>
          <w:tcPr>
            <w:tcW w:w="0" w:type="auto"/>
            <w:hideMark/>
          </w:tcPr>
          <w:p w14:paraId="4E6291F0" w14:textId="77777777" w:rsidR="00CC7184" w:rsidRPr="00CC7184" w:rsidRDefault="00CC7184" w:rsidP="00CC7184">
            <w:pPr>
              <w:spacing w:after="160" w:line="278" w:lineRule="auto"/>
              <w:cnfStyle w:val="100000000000" w:firstRow="1" w:lastRow="0" w:firstColumn="0" w:lastColumn="0" w:oddVBand="0" w:evenVBand="0" w:oddHBand="0" w:evenHBand="0" w:firstRowFirstColumn="0" w:firstRowLastColumn="0" w:lastRowFirstColumn="0" w:lastRowLastColumn="0"/>
            </w:pPr>
            <w:r w:rsidRPr="00CC7184">
              <w:t>AUC</w:t>
            </w:r>
          </w:p>
        </w:tc>
      </w:tr>
      <w:tr w:rsidR="00CC7184" w:rsidRPr="00CC7184" w14:paraId="16A82D60"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177EA" w14:textId="77777777" w:rsidR="00CC7184" w:rsidRPr="00CC7184" w:rsidRDefault="00CC7184" w:rsidP="00CC7184">
            <w:pPr>
              <w:spacing w:after="160" w:line="278" w:lineRule="auto"/>
            </w:pPr>
            <w:r w:rsidRPr="00CC7184">
              <w:t>KNN</w:t>
            </w:r>
          </w:p>
        </w:tc>
        <w:tc>
          <w:tcPr>
            <w:tcW w:w="0" w:type="auto"/>
            <w:hideMark/>
          </w:tcPr>
          <w:p w14:paraId="79720FD1"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0.80</w:t>
            </w:r>
          </w:p>
        </w:tc>
        <w:tc>
          <w:tcPr>
            <w:tcW w:w="0" w:type="auto"/>
            <w:hideMark/>
          </w:tcPr>
          <w:p w14:paraId="27D5AD87"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0.50</w:t>
            </w:r>
          </w:p>
        </w:tc>
        <w:tc>
          <w:tcPr>
            <w:tcW w:w="0" w:type="auto"/>
            <w:hideMark/>
          </w:tcPr>
          <w:p w14:paraId="4B6EDD66"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0.90</w:t>
            </w:r>
          </w:p>
        </w:tc>
        <w:tc>
          <w:tcPr>
            <w:tcW w:w="0" w:type="auto"/>
            <w:hideMark/>
          </w:tcPr>
          <w:p w14:paraId="77306539"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0.70</w:t>
            </w:r>
          </w:p>
        </w:tc>
      </w:tr>
      <w:tr w:rsidR="00CC7184" w:rsidRPr="00CC7184" w14:paraId="651D2F1B" w14:textId="77777777" w:rsidTr="00CC7184">
        <w:tc>
          <w:tcPr>
            <w:cnfStyle w:val="001000000000" w:firstRow="0" w:lastRow="0" w:firstColumn="1" w:lastColumn="0" w:oddVBand="0" w:evenVBand="0" w:oddHBand="0" w:evenHBand="0" w:firstRowFirstColumn="0" w:firstRowLastColumn="0" w:lastRowFirstColumn="0" w:lastRowLastColumn="0"/>
            <w:tcW w:w="0" w:type="auto"/>
            <w:hideMark/>
          </w:tcPr>
          <w:p w14:paraId="4CE1847B" w14:textId="77777777" w:rsidR="00CC7184" w:rsidRPr="00CC7184" w:rsidRDefault="00CC7184" w:rsidP="00CC7184">
            <w:pPr>
              <w:spacing w:after="160" w:line="278" w:lineRule="auto"/>
            </w:pPr>
            <w:r w:rsidRPr="00CC7184">
              <w:t>Random Forest</w:t>
            </w:r>
          </w:p>
        </w:tc>
        <w:tc>
          <w:tcPr>
            <w:tcW w:w="0" w:type="auto"/>
            <w:hideMark/>
          </w:tcPr>
          <w:p w14:paraId="02A43CE7"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0.79</w:t>
            </w:r>
          </w:p>
        </w:tc>
        <w:tc>
          <w:tcPr>
            <w:tcW w:w="0" w:type="auto"/>
            <w:hideMark/>
          </w:tcPr>
          <w:p w14:paraId="71C111B4"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0.46</w:t>
            </w:r>
          </w:p>
        </w:tc>
        <w:tc>
          <w:tcPr>
            <w:tcW w:w="0" w:type="auto"/>
            <w:hideMark/>
          </w:tcPr>
          <w:p w14:paraId="16D1118B"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0.91</w:t>
            </w:r>
          </w:p>
        </w:tc>
        <w:tc>
          <w:tcPr>
            <w:tcW w:w="0" w:type="auto"/>
            <w:hideMark/>
          </w:tcPr>
          <w:p w14:paraId="6D9AC24E" w14:textId="77777777" w:rsidR="00CC7184" w:rsidRPr="00CC7184" w:rsidRDefault="00CC7184" w:rsidP="00CC7184">
            <w:pPr>
              <w:spacing w:after="160" w:line="278" w:lineRule="auto"/>
              <w:cnfStyle w:val="000000000000" w:firstRow="0" w:lastRow="0" w:firstColumn="0" w:lastColumn="0" w:oddVBand="0" w:evenVBand="0" w:oddHBand="0" w:evenHBand="0" w:firstRowFirstColumn="0" w:firstRowLastColumn="0" w:lastRowFirstColumn="0" w:lastRowLastColumn="0"/>
            </w:pPr>
            <w:r w:rsidRPr="00CC7184">
              <w:t>0.69</w:t>
            </w:r>
          </w:p>
        </w:tc>
      </w:tr>
      <w:tr w:rsidR="00CC7184" w:rsidRPr="00CC7184" w14:paraId="1226830A" w14:textId="77777777" w:rsidTr="00CC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519EB" w14:textId="77777777" w:rsidR="00CC7184" w:rsidRPr="00CC7184" w:rsidRDefault="00CC7184" w:rsidP="00CC7184">
            <w:pPr>
              <w:spacing w:after="160" w:line="278" w:lineRule="auto"/>
            </w:pPr>
            <w:r w:rsidRPr="00CC7184">
              <w:t>Logistic Regression</w:t>
            </w:r>
          </w:p>
        </w:tc>
        <w:tc>
          <w:tcPr>
            <w:tcW w:w="0" w:type="auto"/>
            <w:hideMark/>
          </w:tcPr>
          <w:p w14:paraId="77E0108E"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0.82</w:t>
            </w:r>
          </w:p>
        </w:tc>
        <w:tc>
          <w:tcPr>
            <w:tcW w:w="0" w:type="auto"/>
            <w:hideMark/>
          </w:tcPr>
          <w:p w14:paraId="69E7FCA9"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0.60</w:t>
            </w:r>
          </w:p>
        </w:tc>
        <w:tc>
          <w:tcPr>
            <w:tcW w:w="0" w:type="auto"/>
            <w:hideMark/>
          </w:tcPr>
          <w:p w14:paraId="03D4E0F3"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0.90</w:t>
            </w:r>
          </w:p>
        </w:tc>
        <w:tc>
          <w:tcPr>
            <w:tcW w:w="0" w:type="auto"/>
            <w:hideMark/>
          </w:tcPr>
          <w:p w14:paraId="18C67FEE" w14:textId="77777777" w:rsidR="00CC7184" w:rsidRPr="00CC7184" w:rsidRDefault="00CC7184" w:rsidP="00CC7184">
            <w:pPr>
              <w:spacing w:after="160" w:line="278" w:lineRule="auto"/>
              <w:cnfStyle w:val="000000100000" w:firstRow="0" w:lastRow="0" w:firstColumn="0" w:lastColumn="0" w:oddVBand="0" w:evenVBand="0" w:oddHBand="1" w:evenHBand="0" w:firstRowFirstColumn="0" w:firstRowLastColumn="0" w:lastRowFirstColumn="0" w:lastRowLastColumn="0"/>
            </w:pPr>
            <w:r w:rsidRPr="00CC7184">
              <w:t>0.75</w:t>
            </w:r>
          </w:p>
        </w:tc>
      </w:tr>
    </w:tbl>
    <w:p w14:paraId="6A7DC53C" w14:textId="3B415A6E" w:rsidR="00CC7184" w:rsidRPr="00CC7184" w:rsidRDefault="00CC7184" w:rsidP="00CC7184">
      <w:r w:rsidRPr="00CC7184">
        <w:rPr>
          <w:b/>
          <w:bCs/>
        </w:rPr>
        <w:t>Figure 4: ROC Curves for Classification Models</w:t>
      </w:r>
      <w:r w:rsidRPr="00CC7184">
        <w:br/>
      </w:r>
      <w:r w:rsidRPr="00CC7184">
        <w:rPr>
          <w:noProof/>
        </w:rPr>
        <w:drawing>
          <wp:inline distT="0" distB="0" distL="0" distR="0" wp14:anchorId="385C6AC0" wp14:editId="7E64910A">
            <wp:extent cx="3600000" cy="2336849"/>
            <wp:effectExtent l="0" t="0" r="635" b="6350"/>
            <wp:docPr id="1446195246" name="Picture 5"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95246" name="Picture 5" descr="A graph of a curv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336849"/>
                    </a:xfrm>
                    <a:prstGeom prst="rect">
                      <a:avLst/>
                    </a:prstGeom>
                    <a:noFill/>
                    <a:ln>
                      <a:noFill/>
                    </a:ln>
                  </pic:spPr>
                </pic:pic>
              </a:graphicData>
            </a:graphic>
          </wp:inline>
        </w:drawing>
      </w:r>
    </w:p>
    <w:p w14:paraId="76048E3F" w14:textId="36F800F3" w:rsidR="00CC7184" w:rsidRPr="00CC7184" w:rsidRDefault="00CC7184" w:rsidP="00CC7184">
      <w:r w:rsidRPr="00CC7184">
        <w:rPr>
          <w:b/>
          <w:bCs/>
        </w:rPr>
        <w:lastRenderedPageBreak/>
        <w:t>Figure 5: Confusion Matrix: Logistic Regression</w:t>
      </w:r>
      <w:r w:rsidRPr="00CC7184">
        <w:br/>
      </w:r>
      <w:r w:rsidRPr="00CC7184">
        <w:rPr>
          <w:noProof/>
        </w:rPr>
        <w:drawing>
          <wp:inline distT="0" distB="0" distL="0" distR="0" wp14:anchorId="67D47618" wp14:editId="34F0366C">
            <wp:extent cx="3600000" cy="2327676"/>
            <wp:effectExtent l="0" t="0" r="635" b="0"/>
            <wp:docPr id="1023075750" name="Picture 6"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75750" name="Picture 6" descr="A blue and white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327676"/>
                    </a:xfrm>
                    <a:prstGeom prst="rect">
                      <a:avLst/>
                    </a:prstGeom>
                    <a:noFill/>
                    <a:ln>
                      <a:noFill/>
                    </a:ln>
                  </pic:spPr>
                </pic:pic>
              </a:graphicData>
            </a:graphic>
          </wp:inline>
        </w:drawing>
      </w:r>
    </w:p>
    <w:p w14:paraId="27D205F8" w14:textId="77777777" w:rsidR="00CC7184" w:rsidRPr="00CC7184" w:rsidRDefault="00CC7184" w:rsidP="00CC7184">
      <w:pPr>
        <w:rPr>
          <w:b/>
          <w:bCs/>
        </w:rPr>
      </w:pPr>
      <w:r w:rsidRPr="00CC7184">
        <w:rPr>
          <w:b/>
          <w:bCs/>
        </w:rPr>
        <w:t>Conclusion</w:t>
      </w:r>
    </w:p>
    <w:p w14:paraId="3F3BB0F8" w14:textId="77777777" w:rsidR="00CC7184" w:rsidRPr="00CC7184" w:rsidRDefault="00CC7184" w:rsidP="00CC7184">
      <w:r w:rsidRPr="00CC7184">
        <w:t xml:space="preserve">The Telco Customer Churn analysis provides a robust framework for understanding and mitigating churn through high-dimensional statistical methods. EDA reveals critical risk factors: customers with month-to-month contracts (42.71% churn), </w:t>
      </w:r>
      <w:proofErr w:type="spellStart"/>
      <w:r w:rsidRPr="00CC7184">
        <w:t>fiber</w:t>
      </w:r>
      <w:proofErr w:type="spellEnd"/>
      <w:r w:rsidRPr="00CC7184">
        <w:t xml:space="preserve"> optic services (41.89%), electronic check payments (45.29%), and senior citizen status (41.68%) are significantly more likely to churn. PCA </w:t>
      </w:r>
      <w:proofErr w:type="spellStart"/>
      <w:r w:rsidRPr="00CC7184">
        <w:t>distills</w:t>
      </w:r>
      <w:proofErr w:type="spellEnd"/>
      <w:r w:rsidRPr="00CC7184">
        <w:t xml:space="preserve"> the 30-dimensional feature space into interpretable components, with PC1 (39.21% variance) driven by billing attributes (</w:t>
      </w:r>
      <w:proofErr w:type="spellStart"/>
      <w:r w:rsidRPr="00CC7184">
        <w:t>MonthlyCharges</w:t>
      </w:r>
      <w:proofErr w:type="spellEnd"/>
      <w:r w:rsidRPr="00CC7184">
        <w:t xml:space="preserve">, </w:t>
      </w:r>
      <w:proofErr w:type="spellStart"/>
      <w:r w:rsidRPr="00CC7184">
        <w:t>TotalCharges</w:t>
      </w:r>
      <w:proofErr w:type="spellEnd"/>
      <w:r w:rsidRPr="00CC7184">
        <w:t xml:space="preserve">) and tenure, and PC2 (18.68%) reflecting contract duration. These patterns are reinforced by Random Forest’s feature importance, which prioritizes </w:t>
      </w:r>
      <w:proofErr w:type="spellStart"/>
      <w:r w:rsidRPr="00CC7184">
        <w:t>TotalCharges</w:t>
      </w:r>
      <w:proofErr w:type="spellEnd"/>
      <w:r w:rsidRPr="00CC7184">
        <w:t xml:space="preserve">, tenure, and </w:t>
      </w:r>
      <w:proofErr w:type="spellStart"/>
      <w:r w:rsidRPr="00CC7184">
        <w:t>MonthlyCharges</w:t>
      </w:r>
      <w:proofErr w:type="spellEnd"/>
      <w:r w:rsidRPr="00CC7184">
        <w:t xml:space="preserve">, aligning with PCA findings and highlighting the synergy between dimension reduction and predictive </w:t>
      </w:r>
      <w:proofErr w:type="spellStart"/>
      <w:r w:rsidRPr="00CC7184">
        <w:t>modeling</w:t>
      </w:r>
      <w:proofErr w:type="spellEnd"/>
      <w:r w:rsidRPr="00CC7184">
        <w:t>.</w:t>
      </w:r>
    </w:p>
    <w:p w14:paraId="7000E492" w14:textId="54455F54" w:rsidR="00CC7184" w:rsidRPr="00CC7184" w:rsidRDefault="00CC7184" w:rsidP="00CC7184">
      <w:r w:rsidRPr="00CC7184">
        <w:t>Logistic Regression emerges as the most effective model, achieving an accuracy of 0.82, sensitivity of 0.60, and AUC of 0.75, outperforming Random Forest (0.79 accuracy) and KNN (0.80 accuracy). Its balanced performance makes it a practical choice for operationalizing churn prediction, enabling targeted interventions. The consistency across methods strengthens the reliability of insights.</w:t>
      </w:r>
    </w:p>
    <w:p w14:paraId="6D4DA401" w14:textId="77777777" w:rsidR="00CC7184" w:rsidRPr="00CC7184" w:rsidRDefault="00CC7184" w:rsidP="00CC7184">
      <w:r w:rsidRPr="00CC7184">
        <w:t>To address churn, the telecommunications company should implement the following strategies:</w:t>
      </w:r>
    </w:p>
    <w:p w14:paraId="5699BB04" w14:textId="77777777" w:rsidR="00CC7184" w:rsidRPr="00CC7184" w:rsidRDefault="00CC7184" w:rsidP="00CC7184">
      <w:pPr>
        <w:numPr>
          <w:ilvl w:val="0"/>
          <w:numId w:val="6"/>
        </w:numPr>
      </w:pPr>
      <w:r w:rsidRPr="00CC7184">
        <w:rPr>
          <w:b/>
          <w:bCs/>
        </w:rPr>
        <w:t>Loyalty Programs</w:t>
      </w:r>
      <w:r w:rsidRPr="00CC7184">
        <w:t>: Offer discounts, exclusive benefits, or personalized services to customers with tenure less than 12 months, as short-tenure customers are at high risk. For example, a 10% discount for the first year could incentivize retention.</w:t>
      </w:r>
    </w:p>
    <w:p w14:paraId="62A85DA5" w14:textId="77777777" w:rsidR="00CC7184" w:rsidRPr="00CC7184" w:rsidRDefault="00CC7184" w:rsidP="00CC7184">
      <w:pPr>
        <w:numPr>
          <w:ilvl w:val="0"/>
          <w:numId w:val="6"/>
        </w:numPr>
      </w:pPr>
      <w:r w:rsidRPr="00CC7184">
        <w:rPr>
          <w:b/>
          <w:bCs/>
        </w:rPr>
        <w:t>Contract Incentives</w:t>
      </w:r>
      <w:r w:rsidRPr="00CC7184">
        <w:t>: Promote one-year (11.27% churn) and two-year contracts (2.83% churn) through financial incentives, such as waived setup fees or reduced rates, to lock in long-term commitments.</w:t>
      </w:r>
    </w:p>
    <w:p w14:paraId="701D70EF" w14:textId="77777777" w:rsidR="00CC7184" w:rsidRPr="00CC7184" w:rsidRDefault="00CC7184" w:rsidP="00CC7184">
      <w:pPr>
        <w:numPr>
          <w:ilvl w:val="0"/>
          <w:numId w:val="6"/>
        </w:numPr>
      </w:pPr>
      <w:r w:rsidRPr="00CC7184">
        <w:rPr>
          <w:b/>
          <w:bCs/>
        </w:rPr>
        <w:lastRenderedPageBreak/>
        <w:t>Fiber Optic Service Enhancements</w:t>
      </w:r>
      <w:r w:rsidRPr="00CC7184">
        <w:t xml:space="preserve">: Investigate and address quality issues in </w:t>
      </w:r>
      <w:proofErr w:type="spellStart"/>
      <w:r w:rsidRPr="00CC7184">
        <w:t>fiber</w:t>
      </w:r>
      <w:proofErr w:type="spellEnd"/>
      <w:r w:rsidRPr="00CC7184">
        <w:t xml:space="preserve"> optic services (41.89% churn) through infrastructure upgrades or bundled discounts (e.g., free streaming subscriptions) to improve customer satisfaction.</w:t>
      </w:r>
    </w:p>
    <w:p w14:paraId="3482738A" w14:textId="77777777" w:rsidR="00CC7184" w:rsidRPr="00CC7184" w:rsidRDefault="00CC7184" w:rsidP="00CC7184">
      <w:pPr>
        <w:numPr>
          <w:ilvl w:val="0"/>
          <w:numId w:val="6"/>
        </w:numPr>
      </w:pPr>
      <w:r w:rsidRPr="00CC7184">
        <w:rPr>
          <w:b/>
          <w:bCs/>
        </w:rPr>
        <w:t>Payment Method Streamlining</w:t>
      </w:r>
      <w:r w:rsidRPr="00CC7184">
        <w:t>: Encourage alternatives to electronic checks (45.29% churn) by offering seamless payment options, such as automatic credit card deductions or mobile payment integration, to enhance convenience.</w:t>
      </w:r>
    </w:p>
    <w:p w14:paraId="09905533" w14:textId="77777777" w:rsidR="00A1134B" w:rsidRDefault="00CC7184">
      <w:pPr>
        <w:sectPr w:rsidR="00A1134B">
          <w:pgSz w:w="11906" w:h="16838"/>
          <w:pgMar w:top="1440" w:right="1440" w:bottom="1440" w:left="1440" w:header="708" w:footer="708" w:gutter="0"/>
          <w:cols w:space="708"/>
          <w:docGrid w:linePitch="360"/>
        </w:sectPr>
      </w:pPr>
      <w:r w:rsidRPr="00CC7184">
        <w:t>These strategies, grounded in the analysis, can significantly reduce churn rates, bolstering customer retention and financial stability. Future research could explore additional features (e.g., customer support interactions), address class imbalance through oversampling techniques, or incorporate advanced models like gradient boosting to enhance predictive accuracy. Integrating causal inference methods could further distinguish correlation from causality, refining strategic interventions.</w:t>
      </w:r>
    </w:p>
    <w:p w14:paraId="474771EC" w14:textId="77777777" w:rsidR="00CC7184" w:rsidRPr="00CC7184" w:rsidRDefault="00CC7184" w:rsidP="00CC7184">
      <w:pPr>
        <w:rPr>
          <w:b/>
          <w:bCs/>
        </w:rPr>
      </w:pPr>
      <w:r w:rsidRPr="00CC7184">
        <w:rPr>
          <w:b/>
          <w:bCs/>
        </w:rPr>
        <w:lastRenderedPageBreak/>
        <w:t>Appendix</w:t>
      </w:r>
    </w:p>
    <w:p w14:paraId="1AEA3E22" w14:textId="77777777" w:rsidR="00CC7184" w:rsidRPr="00CC7184" w:rsidRDefault="00CC7184" w:rsidP="00CC7184">
      <w:pPr>
        <w:rPr>
          <w:b/>
          <w:bCs/>
        </w:rPr>
      </w:pPr>
      <w:r w:rsidRPr="00CC7184">
        <w:rPr>
          <w:b/>
          <w:bCs/>
        </w:rPr>
        <w:t>Supplementary Outputs</w:t>
      </w:r>
    </w:p>
    <w:p w14:paraId="275E5833" w14:textId="77777777" w:rsidR="00CC7184" w:rsidRPr="00CC7184" w:rsidRDefault="00CC7184" w:rsidP="00CC7184">
      <w:r w:rsidRPr="00CC7184">
        <w:t>Detailed results are available in the project directory:</w:t>
      </w:r>
    </w:p>
    <w:p w14:paraId="2FD97909" w14:textId="77777777" w:rsidR="00CC7184" w:rsidRPr="00CC7184" w:rsidRDefault="00CC7184" w:rsidP="00CC7184">
      <w:pPr>
        <w:numPr>
          <w:ilvl w:val="0"/>
          <w:numId w:val="7"/>
        </w:numPr>
      </w:pPr>
      <w:r w:rsidRPr="00CC7184">
        <w:rPr>
          <w:b/>
          <w:bCs/>
        </w:rPr>
        <w:t>Additional Plots</w:t>
      </w:r>
      <w:r w:rsidRPr="00CC7184">
        <w:t>:</w:t>
      </w:r>
    </w:p>
    <w:p w14:paraId="450515FA" w14:textId="33506B0F" w:rsidR="00CC7184" w:rsidRDefault="00CC7184" w:rsidP="00CC7184">
      <w:pPr>
        <w:numPr>
          <w:ilvl w:val="0"/>
          <w:numId w:val="7"/>
        </w:numPr>
      </w:pPr>
      <w:r w:rsidRPr="00CC7184">
        <w:t>Histogram of Tenure</w:t>
      </w:r>
    </w:p>
    <w:p w14:paraId="2AAC6939" w14:textId="3C868065" w:rsidR="00CC7184" w:rsidRDefault="00CC7184" w:rsidP="00CC7184">
      <w:r w:rsidRPr="00CC7184">
        <w:rPr>
          <w:noProof/>
        </w:rPr>
        <w:drawing>
          <wp:inline distT="0" distB="0" distL="0" distR="0" wp14:anchorId="17036B64" wp14:editId="26DE3050">
            <wp:extent cx="2880000" cy="1841082"/>
            <wp:effectExtent l="0" t="0" r="0" b="6985"/>
            <wp:docPr id="5819725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841082"/>
                    </a:xfrm>
                    <a:prstGeom prst="rect">
                      <a:avLst/>
                    </a:prstGeom>
                    <a:noFill/>
                    <a:ln>
                      <a:noFill/>
                    </a:ln>
                  </pic:spPr>
                </pic:pic>
              </a:graphicData>
            </a:graphic>
          </wp:inline>
        </w:drawing>
      </w:r>
    </w:p>
    <w:p w14:paraId="6F28EB23" w14:textId="5FE769B6" w:rsidR="00CC7184" w:rsidRDefault="00CC7184" w:rsidP="00CC7184">
      <w:pPr>
        <w:numPr>
          <w:ilvl w:val="0"/>
          <w:numId w:val="7"/>
        </w:numPr>
      </w:pPr>
      <w:r w:rsidRPr="00CC7184">
        <w:t xml:space="preserve">Churn Rate by </w:t>
      </w:r>
      <w:proofErr w:type="spellStart"/>
      <w:r w:rsidRPr="00CC7184">
        <w:t>InternetService</w:t>
      </w:r>
      <w:proofErr w:type="spellEnd"/>
    </w:p>
    <w:p w14:paraId="6E1BA88E" w14:textId="7D683FDF" w:rsidR="00CC7184" w:rsidRPr="00CC7184" w:rsidRDefault="00CC7184" w:rsidP="00CC7184">
      <w:r w:rsidRPr="00CC7184">
        <w:rPr>
          <w:noProof/>
        </w:rPr>
        <w:drawing>
          <wp:inline distT="0" distB="0" distL="0" distR="0" wp14:anchorId="699D376C" wp14:editId="0327BF2F">
            <wp:extent cx="2880000" cy="2004450"/>
            <wp:effectExtent l="0" t="0" r="0" b="0"/>
            <wp:docPr id="342094202" name="Picture 8" descr="A graph of a graph showing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94202" name="Picture 8" descr="A graph of a graph showing a number of blue squar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004450"/>
                    </a:xfrm>
                    <a:prstGeom prst="rect">
                      <a:avLst/>
                    </a:prstGeom>
                    <a:noFill/>
                    <a:ln>
                      <a:noFill/>
                    </a:ln>
                  </pic:spPr>
                </pic:pic>
              </a:graphicData>
            </a:graphic>
          </wp:inline>
        </w:drawing>
      </w:r>
    </w:p>
    <w:p w14:paraId="0FD19D52" w14:textId="6FD2AA88" w:rsidR="00CC7184" w:rsidRDefault="00CC7184" w:rsidP="00A1134B">
      <w:pPr>
        <w:numPr>
          <w:ilvl w:val="0"/>
          <w:numId w:val="7"/>
        </w:numPr>
      </w:pPr>
      <w:r w:rsidRPr="00CC7184">
        <w:t xml:space="preserve">Churn Rate by </w:t>
      </w:r>
      <w:proofErr w:type="spellStart"/>
      <w:r w:rsidRPr="00CC7184">
        <w:t>PaymentMethod</w:t>
      </w:r>
      <w:proofErr w:type="spellEnd"/>
    </w:p>
    <w:p w14:paraId="0FC5A0C6" w14:textId="7C72F7E3" w:rsidR="00CC7184" w:rsidRPr="00CC7184" w:rsidRDefault="00CC7184" w:rsidP="00CC7184">
      <w:r w:rsidRPr="00CC7184">
        <w:rPr>
          <w:noProof/>
        </w:rPr>
        <w:drawing>
          <wp:inline distT="0" distB="0" distL="0" distR="0" wp14:anchorId="79E4CD38" wp14:editId="285294EB">
            <wp:extent cx="2880000" cy="2257798"/>
            <wp:effectExtent l="0" t="0" r="0" b="9525"/>
            <wp:docPr id="49450053" name="Picture 9"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0053" name="Picture 9" descr="A graph of a char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257798"/>
                    </a:xfrm>
                    <a:prstGeom prst="rect">
                      <a:avLst/>
                    </a:prstGeom>
                    <a:noFill/>
                    <a:ln>
                      <a:noFill/>
                    </a:ln>
                  </pic:spPr>
                </pic:pic>
              </a:graphicData>
            </a:graphic>
          </wp:inline>
        </w:drawing>
      </w:r>
    </w:p>
    <w:p w14:paraId="778D1326" w14:textId="5F5B6500" w:rsidR="00CC7184" w:rsidRDefault="00CC7184" w:rsidP="00CC7184">
      <w:pPr>
        <w:numPr>
          <w:ilvl w:val="0"/>
          <w:numId w:val="7"/>
        </w:numPr>
      </w:pPr>
      <w:r w:rsidRPr="00CC7184">
        <w:lastRenderedPageBreak/>
        <w:t xml:space="preserve">Churn Rate by </w:t>
      </w:r>
      <w:proofErr w:type="spellStart"/>
      <w:r w:rsidRPr="00CC7184">
        <w:t>SeniorCitizen</w:t>
      </w:r>
      <w:proofErr w:type="spellEnd"/>
    </w:p>
    <w:p w14:paraId="0C01F907" w14:textId="5BFF670F" w:rsidR="00CC7184" w:rsidRPr="00CC7184" w:rsidRDefault="00CC7184" w:rsidP="00CC7184">
      <w:pPr>
        <w:ind w:left="360"/>
      </w:pPr>
      <w:r w:rsidRPr="00CC7184">
        <w:rPr>
          <w:noProof/>
        </w:rPr>
        <w:drawing>
          <wp:inline distT="0" distB="0" distL="0" distR="0" wp14:anchorId="7CBA25BA" wp14:editId="65813170">
            <wp:extent cx="2880000" cy="1852887"/>
            <wp:effectExtent l="0" t="0" r="0" b="0"/>
            <wp:docPr id="1305218984" name="Picture 10"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18984" name="Picture 10" descr="A graph with blue squar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852887"/>
                    </a:xfrm>
                    <a:prstGeom prst="rect">
                      <a:avLst/>
                    </a:prstGeom>
                    <a:noFill/>
                    <a:ln>
                      <a:noFill/>
                    </a:ln>
                  </pic:spPr>
                </pic:pic>
              </a:graphicData>
            </a:graphic>
          </wp:inline>
        </w:drawing>
      </w:r>
    </w:p>
    <w:p w14:paraId="7A249A21" w14:textId="03B2174B" w:rsidR="00CC7184" w:rsidRDefault="00CC7184" w:rsidP="00CC7184">
      <w:pPr>
        <w:numPr>
          <w:ilvl w:val="0"/>
          <w:numId w:val="7"/>
        </w:numPr>
      </w:pPr>
      <w:r w:rsidRPr="00CC7184">
        <w:t>Correlation Heatmap</w:t>
      </w:r>
    </w:p>
    <w:p w14:paraId="09D41AB2" w14:textId="182E3A37" w:rsidR="00CC7184" w:rsidRPr="00CC7184" w:rsidRDefault="00CC7184" w:rsidP="00CC7184">
      <w:pPr>
        <w:ind w:left="360"/>
      </w:pPr>
      <w:r w:rsidRPr="00CC7184">
        <w:rPr>
          <w:noProof/>
        </w:rPr>
        <w:drawing>
          <wp:inline distT="0" distB="0" distL="0" distR="0" wp14:anchorId="257031C4" wp14:editId="4D0C2200">
            <wp:extent cx="2880000" cy="1960417"/>
            <wp:effectExtent l="0" t="0" r="0" b="1905"/>
            <wp:docPr id="1065637336" name="Picture 1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37336" name="Picture 11" descr="A screenshot of a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960417"/>
                    </a:xfrm>
                    <a:prstGeom prst="rect">
                      <a:avLst/>
                    </a:prstGeom>
                    <a:noFill/>
                    <a:ln>
                      <a:noFill/>
                    </a:ln>
                  </pic:spPr>
                </pic:pic>
              </a:graphicData>
            </a:graphic>
          </wp:inline>
        </w:drawing>
      </w:r>
    </w:p>
    <w:p w14:paraId="420A97DB" w14:textId="3DE6A1A4" w:rsidR="0097091A" w:rsidRPr="00CC7184" w:rsidRDefault="00CC7184" w:rsidP="0080716E">
      <w:pPr>
        <w:numPr>
          <w:ilvl w:val="0"/>
          <w:numId w:val="7"/>
        </w:numPr>
      </w:pPr>
      <w:r w:rsidRPr="00CC7184">
        <w:t xml:space="preserve">Confusion Matrices for KNN and Random Forest </w:t>
      </w:r>
      <w:r w:rsidRPr="00CC7184">
        <w:rPr>
          <w:noProof/>
        </w:rPr>
        <w:drawing>
          <wp:inline distT="0" distB="0" distL="0" distR="0" wp14:anchorId="7A6FA6F9" wp14:editId="0541EC1F">
            <wp:extent cx="2880000" cy="1862141"/>
            <wp:effectExtent l="0" t="0" r="0" b="5080"/>
            <wp:docPr id="2030775942" name="Picture 12"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75942" name="Picture 12" descr="A blue and white graph&#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62141"/>
                    </a:xfrm>
                    <a:prstGeom prst="rect">
                      <a:avLst/>
                    </a:prstGeom>
                    <a:noFill/>
                    <a:ln>
                      <a:noFill/>
                    </a:ln>
                  </pic:spPr>
                </pic:pic>
              </a:graphicData>
            </a:graphic>
          </wp:inline>
        </w:drawing>
      </w:r>
      <w:r w:rsidRPr="00CC7184">
        <w:rPr>
          <w:noProof/>
        </w:rPr>
        <w:drawing>
          <wp:inline distT="0" distB="0" distL="0" distR="0" wp14:anchorId="1620DF19" wp14:editId="53D3F3EF">
            <wp:extent cx="2880000" cy="1862141"/>
            <wp:effectExtent l="0" t="0" r="0" b="5080"/>
            <wp:docPr id="1485597412" name="Picture 13"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97412" name="Picture 13" descr="A blue and white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862141"/>
                    </a:xfrm>
                    <a:prstGeom prst="rect">
                      <a:avLst/>
                    </a:prstGeom>
                    <a:noFill/>
                    <a:ln>
                      <a:noFill/>
                    </a:ln>
                  </pic:spPr>
                </pic:pic>
              </a:graphicData>
            </a:graphic>
          </wp:inline>
        </w:drawing>
      </w:r>
    </w:p>
    <w:sectPr w:rsidR="0097091A" w:rsidRPr="00CC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EA5"/>
    <w:multiLevelType w:val="multilevel"/>
    <w:tmpl w:val="720825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9034A0"/>
    <w:multiLevelType w:val="multilevel"/>
    <w:tmpl w:val="1AF4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85A2D"/>
    <w:multiLevelType w:val="multilevel"/>
    <w:tmpl w:val="69B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52679"/>
    <w:multiLevelType w:val="multilevel"/>
    <w:tmpl w:val="77406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F5D0E"/>
    <w:multiLevelType w:val="multilevel"/>
    <w:tmpl w:val="5CFA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33367"/>
    <w:multiLevelType w:val="multilevel"/>
    <w:tmpl w:val="7BD4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C4525"/>
    <w:multiLevelType w:val="multilevel"/>
    <w:tmpl w:val="C8CA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378CD"/>
    <w:multiLevelType w:val="multilevel"/>
    <w:tmpl w:val="6222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485318">
    <w:abstractNumId w:val="5"/>
  </w:num>
  <w:num w:numId="2" w16cid:durableId="525946445">
    <w:abstractNumId w:val="3"/>
  </w:num>
  <w:num w:numId="3" w16cid:durableId="1923104216">
    <w:abstractNumId w:val="7"/>
  </w:num>
  <w:num w:numId="4" w16cid:durableId="1794210773">
    <w:abstractNumId w:val="4"/>
  </w:num>
  <w:num w:numId="5" w16cid:durableId="887490615">
    <w:abstractNumId w:val="6"/>
  </w:num>
  <w:num w:numId="6" w16cid:durableId="1753508774">
    <w:abstractNumId w:val="1"/>
  </w:num>
  <w:num w:numId="7" w16cid:durableId="385568239">
    <w:abstractNumId w:val="0"/>
  </w:num>
  <w:num w:numId="8" w16cid:durableId="1148936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D6"/>
    <w:rsid w:val="00542029"/>
    <w:rsid w:val="00781172"/>
    <w:rsid w:val="0078374A"/>
    <w:rsid w:val="008C55D6"/>
    <w:rsid w:val="009622C6"/>
    <w:rsid w:val="0097091A"/>
    <w:rsid w:val="00A1134B"/>
    <w:rsid w:val="00C94385"/>
    <w:rsid w:val="00CC7184"/>
    <w:rsid w:val="00E8589B"/>
    <w:rsid w:val="00ED418D"/>
    <w:rsid w:val="00FD0CF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A4B8"/>
  <w15:chartTrackingRefBased/>
  <w15:docId w15:val="{BD77D09E-2B37-4A04-912A-5B03C022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5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5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5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5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5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5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5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5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5D6"/>
    <w:rPr>
      <w:rFonts w:eastAsiaTheme="majorEastAsia" w:cstheme="majorBidi"/>
      <w:color w:val="272727" w:themeColor="text1" w:themeTint="D8"/>
    </w:rPr>
  </w:style>
  <w:style w:type="paragraph" w:styleId="Title">
    <w:name w:val="Title"/>
    <w:basedOn w:val="Normal"/>
    <w:next w:val="Normal"/>
    <w:link w:val="TitleChar"/>
    <w:uiPriority w:val="10"/>
    <w:qFormat/>
    <w:rsid w:val="008C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5D6"/>
    <w:pPr>
      <w:spacing w:before="160"/>
      <w:jc w:val="center"/>
    </w:pPr>
    <w:rPr>
      <w:i/>
      <w:iCs/>
      <w:color w:val="404040" w:themeColor="text1" w:themeTint="BF"/>
    </w:rPr>
  </w:style>
  <w:style w:type="character" w:customStyle="1" w:styleId="QuoteChar">
    <w:name w:val="Quote Char"/>
    <w:basedOn w:val="DefaultParagraphFont"/>
    <w:link w:val="Quote"/>
    <w:uiPriority w:val="29"/>
    <w:rsid w:val="008C55D6"/>
    <w:rPr>
      <w:i/>
      <w:iCs/>
      <w:color w:val="404040" w:themeColor="text1" w:themeTint="BF"/>
    </w:rPr>
  </w:style>
  <w:style w:type="paragraph" w:styleId="ListParagraph">
    <w:name w:val="List Paragraph"/>
    <w:basedOn w:val="Normal"/>
    <w:uiPriority w:val="34"/>
    <w:qFormat/>
    <w:rsid w:val="008C55D6"/>
    <w:pPr>
      <w:ind w:left="720"/>
      <w:contextualSpacing/>
    </w:pPr>
  </w:style>
  <w:style w:type="character" w:styleId="IntenseEmphasis">
    <w:name w:val="Intense Emphasis"/>
    <w:basedOn w:val="DefaultParagraphFont"/>
    <w:uiPriority w:val="21"/>
    <w:qFormat/>
    <w:rsid w:val="008C55D6"/>
    <w:rPr>
      <w:i/>
      <w:iCs/>
      <w:color w:val="2F5496" w:themeColor="accent1" w:themeShade="BF"/>
    </w:rPr>
  </w:style>
  <w:style w:type="paragraph" w:styleId="IntenseQuote">
    <w:name w:val="Intense Quote"/>
    <w:basedOn w:val="Normal"/>
    <w:next w:val="Normal"/>
    <w:link w:val="IntenseQuoteChar"/>
    <w:uiPriority w:val="30"/>
    <w:qFormat/>
    <w:rsid w:val="008C55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5D6"/>
    <w:rPr>
      <w:i/>
      <w:iCs/>
      <w:color w:val="2F5496" w:themeColor="accent1" w:themeShade="BF"/>
    </w:rPr>
  </w:style>
  <w:style w:type="character" w:styleId="IntenseReference">
    <w:name w:val="Intense Reference"/>
    <w:basedOn w:val="DefaultParagraphFont"/>
    <w:uiPriority w:val="32"/>
    <w:qFormat/>
    <w:rsid w:val="008C55D6"/>
    <w:rPr>
      <w:b/>
      <w:bCs/>
      <w:smallCaps/>
      <w:color w:val="2F5496" w:themeColor="accent1" w:themeShade="BF"/>
      <w:spacing w:val="5"/>
    </w:rPr>
  </w:style>
  <w:style w:type="table" w:styleId="GridTable5Dark-Accent1">
    <w:name w:val="Grid Table 5 Dark Accent 1"/>
    <w:basedOn w:val="TableNormal"/>
    <w:uiPriority w:val="50"/>
    <w:rsid w:val="00CC7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CC7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19873">
      <w:bodyDiv w:val="1"/>
      <w:marLeft w:val="0"/>
      <w:marRight w:val="0"/>
      <w:marTop w:val="0"/>
      <w:marBottom w:val="0"/>
      <w:divBdr>
        <w:top w:val="none" w:sz="0" w:space="0" w:color="auto"/>
        <w:left w:val="none" w:sz="0" w:space="0" w:color="auto"/>
        <w:bottom w:val="none" w:sz="0" w:space="0" w:color="auto"/>
        <w:right w:val="none" w:sz="0" w:space="0" w:color="auto"/>
      </w:divBdr>
    </w:div>
    <w:div w:id="611281653">
      <w:bodyDiv w:val="1"/>
      <w:marLeft w:val="0"/>
      <w:marRight w:val="0"/>
      <w:marTop w:val="0"/>
      <w:marBottom w:val="0"/>
      <w:divBdr>
        <w:top w:val="none" w:sz="0" w:space="0" w:color="auto"/>
        <w:left w:val="none" w:sz="0" w:space="0" w:color="auto"/>
        <w:bottom w:val="none" w:sz="0" w:space="0" w:color="auto"/>
        <w:right w:val="none" w:sz="0" w:space="0" w:color="auto"/>
      </w:divBdr>
    </w:div>
    <w:div w:id="844322705">
      <w:bodyDiv w:val="1"/>
      <w:marLeft w:val="0"/>
      <w:marRight w:val="0"/>
      <w:marTop w:val="0"/>
      <w:marBottom w:val="0"/>
      <w:divBdr>
        <w:top w:val="none" w:sz="0" w:space="0" w:color="auto"/>
        <w:left w:val="none" w:sz="0" w:space="0" w:color="auto"/>
        <w:bottom w:val="none" w:sz="0" w:space="0" w:color="auto"/>
        <w:right w:val="none" w:sz="0" w:space="0" w:color="auto"/>
      </w:divBdr>
    </w:div>
    <w:div w:id="1450471281">
      <w:bodyDiv w:val="1"/>
      <w:marLeft w:val="0"/>
      <w:marRight w:val="0"/>
      <w:marTop w:val="0"/>
      <w:marBottom w:val="0"/>
      <w:divBdr>
        <w:top w:val="none" w:sz="0" w:space="0" w:color="auto"/>
        <w:left w:val="none" w:sz="0" w:space="0" w:color="auto"/>
        <w:bottom w:val="none" w:sz="0" w:space="0" w:color="auto"/>
        <w:right w:val="none" w:sz="0" w:space="0" w:color="auto"/>
      </w:divBdr>
    </w:div>
    <w:div w:id="1601571745">
      <w:bodyDiv w:val="1"/>
      <w:marLeft w:val="0"/>
      <w:marRight w:val="0"/>
      <w:marTop w:val="0"/>
      <w:marBottom w:val="0"/>
      <w:divBdr>
        <w:top w:val="none" w:sz="0" w:space="0" w:color="auto"/>
        <w:left w:val="none" w:sz="0" w:space="0" w:color="auto"/>
        <w:bottom w:val="none" w:sz="0" w:space="0" w:color="auto"/>
        <w:right w:val="none" w:sz="0" w:space="0" w:color="auto"/>
      </w:divBdr>
    </w:div>
    <w:div w:id="192086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Cheuk Ming Lewis</dc:creator>
  <cp:keywords/>
  <dc:description/>
  <cp:lastModifiedBy>SO Cheuk Ming Lewis</cp:lastModifiedBy>
  <cp:revision>2</cp:revision>
  <dcterms:created xsi:type="dcterms:W3CDTF">2025-06-09T14:10:00Z</dcterms:created>
  <dcterms:modified xsi:type="dcterms:W3CDTF">2025-06-09T14:57:00Z</dcterms:modified>
</cp:coreProperties>
</file>