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pStyle w:val="MastheadTitle"/>
      </w:pPr>
      <w:r>
        <w:t>ROLLOUT GOVERNANCE MEMO</w:t>
      </w:r>
    </w:p>
    <w:p>
      <w:pPr>
        <w:pStyle w:val="MastheadSubtitle"/>
      </w:pPr>
      <w:r>
        <w:t>Regional production-release authorization for the Atlas service rollout</w:t>
      </w:r>
    </w:p>
    <w:p>
      <w:pPr>
        <w:pStyle w:val="MastheadMetadata"/>
      </w:pPr>
      <w:r>
        <w:rPr>
          <w:rStyle w:val="MetadataLabel"/>
        </w:rPr>
        <w:t xml:space="preserve">To: </w:t>
      </w:r>
      <w:r>
        <w:t>Regional Launch Steering Committee</w:t>
      </w:r>
    </w:p>
    <w:p>
      <w:pPr>
        <w:pStyle w:val="MastheadMetadata"/>
      </w:pPr>
      <w:r>
        <w:rPr>
          <w:rStyle w:val="MetadataLabel"/>
        </w:rPr>
        <w:t xml:space="preserve">From: </w:t>
      </w:r>
      <w:r>
        <w:t>Rollout Governance Office</w:t>
      </w:r>
    </w:p>
    <w:p>
      <w:pPr>
        <w:pStyle w:val="MastheadMetadata"/>
      </w:pPr>
      <w:r>
        <w:rPr>
          <w:rStyle w:val="MetadataLabel"/>
        </w:rPr>
        <w:t xml:space="preserve">Date: </w:t>
      </w:r>
      <w:r>
        <w:t>31 August 2026</w:t>
      </w:r>
    </w:p>
    <w:p>
      <w:pPr>
        <w:pStyle w:val="MastheadMetadata"/>
      </w:pPr>
      <w:r>
        <w:rPr>
          <w:rStyle w:val="MetadataLabel"/>
        </w:rPr>
        <w:t xml:space="preserve">Re: </w:t>
      </w:r>
      <w:r>
        <w:t>Region-level readiness gates and phased release authority</w:t>
      </w:r>
    </w:p>
    <w:p>
      <w:pPr>
        <w:pStyle w:val="MastheadMetadata"/>
      </w:pPr>
      <w:r>
        <w:rPr>
          <w:rStyle w:val="MetadataLabel"/>
        </w:rPr>
        <w:t xml:space="preserve">Status: </w:t>
      </w:r>
      <w:r>
        <w:t>Approved policy for cutoff review</w:t>
      </w:r>
    </w:p>
    <w:p>
      <w:pPr>
        <w:pBdr>
          <w:bottom w:val="single" w:sz="12" w:space="6" w:color="1F4D78"/>
        </w:pBdr>
        <w:spacing w:after="200"/>
      </w:pPr>
    </w:p>
    <w:p>
      <w:r>
        <w:rPr>
          <w:rStyle w:val="DirectiveLabel"/>
        </w:rPr>
        <w:t xml:space="preserve">Directive. </w:t>
      </w:r>
      <w:r>
        <w:t>Evaluate launch eligibility per region. Portfolio summaries are context, not authorization.</w:t>
      </w:r>
    </w:p>
    <w:p>
      <w:pPr>
        <w:pStyle w:val="Heading1"/>
      </w:pPr>
      <w:bookmarkStart w:id="1" w:name="Regional_gates"/>
      <w:r>
        <w:t>Regional gates</w:t>
      </w:r>
      <w:bookmarkEnd w:id="1"/>
    </w:p>
    <w:p>
      <w:r>
        <w:t>A region passes only when every criterion below is satisfied for that same region.</w:t>
      </w:r>
    </w:p>
    <w:p>
      <w:pPr>
        <w:pStyle w:val="TableCitation"/>
      </w:pPr>
      <w:r>
        <w:t>Table 1. Regional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aption w:val="Regional-gates"/>
        <w:tblDescription w:val="Four mandatory region-level production rollout gates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760"/>
        <w:gridCol w:w="2720"/>
        <w:gridCol w:w="1760"/>
        <w:gridCol w:w="3120"/>
      </w:tblGrid>
      <w:tr>
        <w:trPr>
          <w:cantSplit/>
          <w:tblHeader w:val="true"/>
        </w:trPr>
        <w:tc>
          <w:tcPr>
            <w:tcW w:type="dxa" w:w="17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Header"/>
            </w:pPr>
            <w:r>
              <w:t>Gate</w:t>
            </w:r>
          </w:p>
        </w:tc>
        <w:tc>
          <w:tcPr>
            <w:tcW w:type="dxa" w:w="27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Header"/>
            </w:pPr>
            <w:r>
              <w:t>Passing criterion</w:t>
            </w:r>
          </w:p>
        </w:tc>
        <w:tc>
          <w:tcPr>
            <w:tcW w:type="dxa" w:w="17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Header"/>
            </w:pPr>
            <w:r>
              <w:t>Evaluation</w:t>
            </w:r>
          </w:p>
        </w:tc>
        <w:tc>
          <w:tcPr>
            <w:tcW w:type="dxa" w:w="312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Header"/>
            </w:pPr>
            <w:r>
              <w:t>Evidence basis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Validation completion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Completion is at least 95%.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Per region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Final validation evidence at the cutoff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Open Sev-1 issues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Open Sev-1 issue count equals 0.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Per region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Final reliability review at the cutoff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Open Sev-2 issues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Open Sev-2 issue count is at most 2.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Per region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Final reliability review at the cutoff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Support capacity</w:t>
            </w:r>
          </w:p>
        </w:tc>
        <w:tc>
          <w:tcPr>
            <w:tcW w:type="dxa" w:w="27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Support capacity / projected peak load is at least 1.25.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Per region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pStyle w:val="GateTableBody"/>
            </w:pPr>
            <w:r>
              <w:t>Regional readiness workbook, Capacity sheet</w:t>
            </w:r>
          </w:p>
        </w:tc>
      </w:tr>
    </w:tbl>
    <w:p>
      <w:pPr>
        <w:pStyle w:val="TableCitation"/>
      </w:pPr>
      <w:r>
        <w:t>Policy owner: Rollout Governance Office. Applies to the 2026-08-31 cutoff review.</w:t>
      </w:r>
    </w:p>
    <w:p>
      <w:pPr>
        <w:pStyle w:val="Heading1"/>
        <w:pageBreakBefore/>
      </w:pPr>
      <w:bookmarkStart w:id="2" w:name="Decision_rule"/>
      <w:r>
        <w:t>Decision rule</w:t>
      </w:r>
      <w:bookmarkEnd w:id="2"/>
    </w:p>
    <w:p>
      <w:r>
        <w:t>Apply every gate independently to each region. A region is eligible only when all four gates pass for that region. Portfolio averages, rollups or dashboard status cannot replace or override a failed regional gate.</w:t>
      </w:r>
    </w:p>
    <w:p>
      <w:pPr>
        <w:pStyle w:val="Heading2"/>
        <w:keepNext/>
      </w:pPr>
      <w:r>
        <w:t>Decision procedure</w:t>
      </w:r>
    </w:p>
    <w:p>
      <w:pPr>
        <w:pStyle w:val="PolicyNumber"/>
        <w:numPr>
          <w:ilvl w:val="0"/>
          <w:numId w:val="10"/>
        </w:numPr>
      </w:pPr>
      <w:r>
        <w:t>Evaluate each region against all four criteria using evidence finalized by the cutoff.</w:t>
      </w:r>
    </w:p>
    <w:p>
      <w:pPr>
        <w:pStyle w:val="PolicyNumber"/>
        <w:numPr>
          <w:ilvl w:val="0"/>
          <w:numId w:val="10"/>
        </w:numPr>
      </w:pPr>
      <w:r>
        <w:t>Authorize only regions that pass every criterion; do not transfer strength between regions.</w:t>
      </w:r>
    </w:p>
    <w:p>
      <w:pPr>
        <w:pStyle w:val="PolicyNumber"/>
        <w:numPr>
          <w:ilvl w:val="0"/>
          <w:numId w:val="10"/>
        </w:numPr>
      </w:pPr>
      <w:r>
        <w:t>Keep each failing region on hold until its failed gate is cleared and revalidated.</w:t>
      </w:r>
    </w:p>
    <w:p>
      <w:pPr>
        <w:pStyle w:val="Heading1"/>
      </w:pPr>
      <w:bookmarkStart w:id="3" w:name="Phased_release"/>
      <w:r>
        <w:t>Phased release</w:t>
      </w:r>
      <w:bookmarkEnd w:id="3"/>
    </w:p>
    <w:p>
      <w:r>
        <w:t>A phased production launch may proceed when at least one region passes all four gates. Only regions that pass every gate may launch; all other regions remain on hold until their failed gates are cleared and the evidence is revalidated.</w:t>
      </w:r>
    </w:p>
    <w:p>
      <w:pPr>
        <w:pStyle w:val="Heading1"/>
      </w:pPr>
      <w:bookmarkStart w:id="4" w:name="Evidence_cutoff"/>
      <w:r>
        <w:t>Evidence cutoff</w:t>
      </w:r>
      <w:bookmarkEnd w:id="4"/>
    </w:p>
    <w:p>
      <w:r>
        <w:t>Use evidence finalized no later than 2026-08-31 18:00 UTC. Later changes belong to a new decision cycle and may not be used retroactively for this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t>Synthetic benchmark fixture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t>Rollout Governance Memo</w:t>
    </w:r>
    <w:r>
      <w:tab/>
      <w:t>Atlas regional launch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before="0" w:after="120" w:line="264" w:lineRule="auto"/>
    </w:pPr>
    <w:rPr>
      <w:rFonts w:ascii="Calibri" w:hAnsi="Calibri" w:eastAsia="Calibr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 w:val="0"/>
      <w:i w:val="0"/>
      <w:color w:val="666666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 w:val="0"/>
      <w:i w:val="0"/>
      <w:color w:val="666666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theadTitle">
    <w:name w:val="Masthead Title"/>
    <w:pPr>
      <w:keepNext/>
      <w:keepLines w:val="0"/>
      <w:widowControl/>
      <w:spacing w:before="0" w:after="80" w:line="240" w:lineRule="auto"/>
    </w:pPr>
    <w:rPr>
      <w:rFonts w:ascii="Calibri" w:hAnsi="Calibri" w:eastAsia="Calibri"/>
      <w:b/>
      <w:i w:val="0"/>
      <w:color w:val="000000"/>
      <w:sz w:val="46"/>
    </w:rPr>
  </w:style>
  <w:style w:type="paragraph" w:customStyle="1" w:styleId="MastheadSubtitle">
    <w:name w:val="Masthead Subtitle"/>
    <w:pPr>
      <w:keepNext/>
      <w:keepLines w:val="0"/>
      <w:widowControl/>
      <w:spacing w:before="0" w:after="240" w:line="240" w:lineRule="auto"/>
    </w:pPr>
    <w:rPr>
      <w:rFonts w:ascii="Calibri" w:hAnsi="Calibri" w:eastAsia="Calibri"/>
      <w:b w:val="0"/>
      <w:i w:val="0"/>
      <w:color w:val="373737"/>
      <w:sz w:val="28"/>
    </w:rPr>
  </w:style>
  <w:style w:type="paragraph" w:customStyle="1" w:styleId="MastheadMetadata">
    <w:name w:val="Masthead Metadata"/>
    <w:pPr>
      <w:keepNext w:val="0"/>
      <w:keepLines w:val="0"/>
      <w:widowControl/>
      <w:spacing w:before="0" w:after="40" w:line="240" w:lineRule="auto"/>
    </w:pPr>
    <w:rPr>
      <w:rFonts w:ascii="Calibri" w:hAnsi="Calibri" w:eastAsia="Calibri"/>
      <w:b w:val="0"/>
      <w:i w:val="0"/>
      <w:color w:val="000000"/>
      <w:sz w:val="21"/>
    </w:rPr>
  </w:style>
  <w:style w:type="paragraph" w:customStyle="1" w:styleId="TableCitation">
    <w:name w:val="Table Citation"/>
    <w:pPr>
      <w:keepNext/>
      <w:keepLines w:val="0"/>
      <w:widowControl/>
      <w:spacing w:before="80" w:after="80" w:line="240" w:lineRule="auto"/>
    </w:pPr>
    <w:rPr>
      <w:rFonts w:ascii="Calibri" w:hAnsi="Calibri" w:eastAsia="Calibri"/>
      <w:b w:val="0"/>
      <w:i/>
      <w:color w:val="666666"/>
      <w:sz w:val="18"/>
    </w:rPr>
  </w:style>
  <w:style w:type="paragraph" w:customStyle="1" w:styleId="GateTableHeader">
    <w:name w:val="Gate Table Header"/>
    <w:pPr>
      <w:keepNext w:val="0"/>
      <w:keepLines/>
      <w:widowControl/>
      <w:spacing w:before="0" w:after="0" w:line="240" w:lineRule="auto"/>
    </w:pPr>
    <w:rPr>
      <w:rFonts w:ascii="Calibri" w:hAnsi="Calibri" w:eastAsia="Calibri"/>
      <w:b/>
      <w:i w:val="0"/>
      <w:color w:val="1F4D78"/>
      <w:sz w:val="19"/>
    </w:rPr>
  </w:style>
  <w:style w:type="paragraph" w:customStyle="1" w:styleId="GateTableBody">
    <w:name w:val="Gate Table Body"/>
    <w:pPr>
      <w:keepNext w:val="0"/>
      <w:keepLines/>
      <w:widowControl/>
      <w:spacing w:before="0" w:after="0" w:line="240" w:lineRule="auto"/>
    </w:pPr>
    <w:rPr>
      <w:rFonts w:ascii="Calibri" w:hAnsi="Calibri" w:eastAsia="Calibri"/>
      <w:b w:val="0"/>
      <w:i w:val="0"/>
      <w:color w:val="000000"/>
      <w:sz w:val="19"/>
    </w:rPr>
  </w:style>
  <w:style w:type="paragraph" w:customStyle="1" w:styleId="PolicyNumber">
    <w:name w:val="Policy Number"/>
    <w:pPr>
      <w:keepNext w:val="0"/>
      <w:keepLines/>
      <w:widowControl/>
      <w:spacing w:before="0" w:after="160" w:line="280" w:lineRule="auto"/>
    </w:pPr>
    <w:rPr>
      <w:rFonts w:ascii="Calibri" w:hAnsi="Calibri" w:eastAsia="Calibri"/>
      <w:b w:val="0"/>
      <w:i w:val="0"/>
      <w:color w:val="000000"/>
      <w:sz w:val="22"/>
    </w:rPr>
  </w:style>
  <w:style w:type="character" w:customStyle="1" w:styleId="MetadataLabel">
    <w:name w:val="Metadata Label"/>
    <w:rPr>
      <w:rFonts w:ascii="Calibri" w:hAnsi="Calibri" w:eastAsia="Calibri"/>
      <w:b/>
      <w:i w:val="0"/>
      <w:color w:val="000000"/>
      <w:sz w:val="21"/>
    </w:rPr>
  </w:style>
  <w:style w:type="character" w:customStyle="1" w:styleId="DirectiveLabel">
    <w:name w:val="Directive Label"/>
    <w:rPr>
      <w:rFonts w:ascii="Calibri" w:hAnsi="Calibri" w:eastAsia="Calibri"/>
      <w:b/>
      <w:i w:val="0"/>
      <w:color w:val="1F4D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Rollout Governance Policy</dc:title>
  <dc:subject>Synthetic multi-format benchmark fixture</dc:subject>
  <dc:creator>Local LLM Benchmark Lab</dc:creator>
  <cp:keywords>synthetic benchmark, rollout policy, regional gates</cp:keywords>
  <dc:description>Project-authored synthetic policy fixture for read-only document analysis.</dc:description>
  <cp:lastModifiedBy>Local LLM Benchmark Lab</cp:lastModifiedBy>
  <cp:revision>1</cp:revision>
  <dcterms:created xsi:type="dcterms:W3CDTF">2026-08-31T18:00:00Z</dcterms:created>
  <dcterms:modified xsi:type="dcterms:W3CDTF">2026-08-31T18:00:00Z</dcterms:modified>
  <cp:category/>
</cp:coreProperties>
</file>