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pStyle w:val="MastheadTitle"/>
      </w:pPr>
      <w:r>
        <w:t>SUPPLIER SELECTION MEMO</w:t>
      </w:r>
    </w:p>
    <w:p>
      <w:pPr>
        <w:pStyle w:val="MastheadSubtitle"/>
      </w:pPr>
      <w:r>
        <w:t>Eligibility and ranking policy for the critical service award</w:t>
      </w:r>
    </w:p>
    <w:p>
      <w:pPr>
        <w:pStyle w:val="MastheadMetadata"/>
      </w:pPr>
      <w:r>
        <w:rPr>
          <w:rStyle w:val="MetadataLabel"/>
        </w:rPr>
        <w:t xml:space="preserve">To: </w:t>
      </w:r>
      <w:r>
        <w:t>Sourcing Committee</w:t>
      </w:r>
    </w:p>
    <w:p>
      <w:pPr>
        <w:pStyle w:val="MastheadMetadata"/>
      </w:pPr>
      <w:r>
        <w:rPr>
          <w:rStyle w:val="MetadataLabel"/>
        </w:rPr>
        <w:t xml:space="preserve">From: </w:t>
      </w:r>
      <w:r>
        <w:t>Procurement Governance Office</w:t>
      </w:r>
    </w:p>
    <w:p>
      <w:pPr>
        <w:pStyle w:val="MastheadMetadata"/>
      </w:pPr>
      <w:r>
        <w:rPr>
          <w:rStyle w:val="MetadataLabel"/>
        </w:rPr>
        <w:t xml:space="preserve">Date: </w:t>
      </w:r>
      <w:r>
        <w:t>8 September 2026</w:t>
      </w:r>
    </w:p>
    <w:p>
      <w:pPr>
        <w:pStyle w:val="MastheadMetadata"/>
      </w:pPr>
      <w:r>
        <w:rPr>
          <w:rStyle w:val="MetadataLabel"/>
        </w:rPr>
        <w:t xml:space="preserve">Re: </w:t>
      </w:r>
      <w:r>
        <w:t>Supplier eligibility, primary award and reserve designation</w:t>
      </w:r>
    </w:p>
    <w:p>
      <w:pPr>
        <w:pStyle w:val="MastheadMetadata"/>
      </w:pPr>
      <w:r>
        <w:rPr>
          <w:rStyle w:val="MetadataLabel"/>
        </w:rPr>
        <w:t xml:space="preserve">Status: </w:t>
      </w:r>
      <w:r>
        <w:t>Approved policy for cutoff review</w:t>
      </w:r>
    </w:p>
    <w:p>
      <w:pPr>
        <w:pBdr>
          <w:bottom w:val="single" w:sz="12" w:space="6" w:color="1F4D78"/>
        </w:pBdr>
        <w:spacing w:after="200"/>
      </w:pPr>
    </w:p>
    <w:p>
      <w:r>
        <w:rPr>
          <w:rStyle w:val="DirectiveLabel"/>
        </w:rPr>
        <w:t xml:space="preserve">Directive. </w:t>
      </w:r>
      <w:r>
        <w:t>Test supplier eligibility first. Rank only suppliers that pass every eligibility gate.</w:t>
      </w:r>
    </w:p>
    <w:p>
      <w:pPr>
        <w:pStyle w:val="Heading1"/>
      </w:pPr>
      <w:bookmarkStart w:id="1" w:name="Eligibility_gates"/>
      <w:r>
        <w:t>Eligibility gates</w:t>
      </w:r>
      <w:bookmarkEnd w:id="1"/>
    </w:p>
    <w:p>
      <w:r>
        <w:t>A supplier is eligible only with signed-final assurance rating A or B, zero unresolved critical findings, capacity headroom of at least 15%, and adjusted first-year cost no greater than EUR 1,200,000.</w:t>
      </w:r>
    </w:p>
    <w:p>
      <w:pPr>
        <w:pStyle w:val="TableCitation"/>
      </w:pPr>
      <w:r>
        <w:t>Table 1. Eligibility gates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aption w:val="Eligibility-gates"/>
        <w:tblDescription w:val="Four mandatory supplier eligibility gates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800"/>
        <w:gridCol w:w="2720"/>
        <w:gridCol w:w="1760"/>
        <w:gridCol w:w="3080"/>
      </w:tblGrid>
      <w:tr>
        <w:trPr>
          <w:cantSplit/>
          <w:tblHeader w:val="true"/>
        </w:trPr>
        <w:tc>
          <w:tcPr>
            <w:tcW w:type="dxa" w:w="180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Header"/>
            </w:pPr>
            <w:r>
              <w:t>Gate</w:t>
            </w:r>
          </w:p>
        </w:tc>
        <w:tc>
          <w:tcPr>
            <w:tcW w:type="dxa" w:w="272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Header"/>
            </w:pPr>
            <w:r>
              <w:t>Passing criterion</w:t>
            </w:r>
          </w:p>
        </w:tc>
        <w:tc>
          <w:tcPr>
            <w:tcW w:type="dxa" w:w="176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Header"/>
            </w:pPr>
            <w:r>
              <w:t>Evaluation</w:t>
            </w:r>
          </w:p>
        </w:tc>
        <w:tc>
          <w:tcPr>
            <w:tcW w:type="dxa" w:w="308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Header"/>
            </w:pPr>
            <w:r>
              <w:t>Authoritative evidence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Assurance rating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Signed-final rating is A or B.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Per supplier</w:t>
            </w:r>
          </w:p>
        </w:tc>
        <w:tc>
          <w:tcPr>
            <w:tcW w:type="dxa" w:w="30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Signed-final assurance appendix at the cutoff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Critical findings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Unresolved critical finding count equals 0.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Per supplier</w:t>
            </w:r>
          </w:p>
        </w:tc>
        <w:tc>
          <w:tcPr>
            <w:tcW w:type="dxa" w:w="30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Signed-final assurance appendix at the cutoff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Capacity headroom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Available / required capacity - 1 is at least 15%.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Per supplier</w:t>
            </w:r>
          </w:p>
        </w:tc>
        <w:tc>
          <w:tcPr>
            <w:tcW w:type="dxa" w:w="30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Bid Evaluation, Bid Analysis sheet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Adjusted cost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Adjusted first-year cost is at most EUR 1,200,000.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Per supplier</w:t>
            </w:r>
          </w:p>
        </w:tc>
        <w:tc>
          <w:tcPr>
            <w:tcW w:type="dxa" w:w="30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Bid Evaluation, Bid Analysis sheet</w:t>
            </w:r>
          </w:p>
        </w:tc>
      </w:tr>
    </w:tbl>
    <w:p>
      <w:pPr>
        <w:pStyle w:val="TableCitation"/>
      </w:pPr>
      <w:r>
        <w:t>Policy owner: Procurement Governance Office. Applies to the 2026-09-08 cutoff review.</w:t>
      </w:r>
    </w:p>
    <w:p>
      <w:pPr>
        <w:pStyle w:val="Heading1"/>
        <w:pageBreakBefore/>
      </w:pPr>
      <w:bookmarkStart w:id="2" w:name="Selection_sequence"/>
      <w:r>
        <w:t>Selection sequence</w:t>
      </w:r>
      <w:bookmarkEnd w:id="2"/>
    </w:p>
    <w:p>
      <w:r>
        <w:t>First exclude every ineligible supplier. Then select the eligible supplier with the lowest adjusted first-year cost as primary and the next-lowest eligible supplier as reserve. If only one supplier is eligible, make a single award; if none is eligible, make no award.</w:t>
      </w:r>
    </w:p>
    <w:p>
      <w:pPr>
        <w:pStyle w:val="Heading2"/>
      </w:pPr>
      <w:r>
        <w:t>Decision procedure</w:t>
      </w:r>
    </w:p>
    <w:p>
      <w:pPr>
        <w:pStyle w:val="PolicyNumber"/>
        <w:numPr>
          <w:ilvl w:val="0"/>
          <w:numId w:val="10"/>
        </w:numPr>
      </w:pPr>
      <w:r>
        <w:t>Establish the signed-final assurance evidence at the cutoff and recompute adjusted cost and capacity headroom from the bid workbook.</w:t>
      </w:r>
    </w:p>
    <w:p>
      <w:pPr>
        <w:pStyle w:val="PolicyNumber"/>
        <w:numPr>
          <w:ilvl w:val="0"/>
          <w:numId w:val="10"/>
        </w:numPr>
      </w:pPr>
      <w:r>
        <w:t>Exclude every supplier that fails any eligibility gate; commercial rank cannot cure a failed gate.</w:t>
      </w:r>
    </w:p>
    <w:p>
      <w:pPr>
        <w:pStyle w:val="PolicyNumber"/>
        <w:numPr>
          <w:ilvl w:val="0"/>
          <w:numId w:val="10"/>
        </w:numPr>
      </w:pPr>
      <w:r>
        <w:t>Rank only the remaining eligible suppliers by adjusted first-year cost, lowest first, assigning primary and reserve in that order.</w:t>
      </w:r>
    </w:p>
    <w:p>
      <w:pPr>
        <w:pStyle w:val="Heading1"/>
      </w:pPr>
      <w:bookmarkStart w:id="3" w:name="Evidence_authority"/>
      <w:r>
        <w:t>Evidence authority</w:t>
      </w:r>
      <w:bookmarkEnd w:id="3"/>
    </w:p>
    <w:p>
      <w:r>
        <w:t>The signed-final assurance appendix at the cutoff supersedes drafts. A commercial dashboard is contextual and cannot waive an assurance or capacity gate, even when it recommends the lowest-cost supplier.</w:t>
      </w:r>
    </w:p>
    <w:p>
      <w:pPr>
        <w:pStyle w:val="Heading1"/>
      </w:pPr>
      <w:bookmarkStart w:id="4" w:name="Decision_cutoff"/>
      <w:r>
        <w:t>Decision cutoff</w:t>
      </w:r>
      <w:bookmarkEnd w:id="4"/>
    </w:p>
    <w:p>
      <w:r>
        <w:t>The award decision uses evidence finalized by 2026-09-08 16:00 UTC. Later changes belong to a new decision cycle and cannot alter this frozen review retroactively.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t>Synthetic benchmark fixture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t>Supplier Selection Memo</w:t>
    </w:r>
    <w:r>
      <w:tab/>
      <w:t>Critical service sourcing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before="0" w:after="120" w:line="264" w:lineRule="auto"/>
    </w:pPr>
    <w:rPr>
      <w:rFonts w:ascii="Calibri" w:hAnsi="Calibri" w:eastAsia="Calibr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keepLines w:val="0"/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Calibri"/>
      <w:b w:val="0"/>
      <w:i w:val="0"/>
      <w:color w:val="666666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keepLines w:val="0"/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Calibri"/>
      <w:b w:val="0"/>
      <w:i w:val="0"/>
      <w:color w:val="666666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stheadTitle">
    <w:name w:val="Masthead Title"/>
    <w:pPr>
      <w:keepNext/>
      <w:keepLines w:val="0"/>
      <w:widowControl/>
      <w:spacing w:before="0" w:after="80" w:line="240" w:lineRule="auto"/>
    </w:pPr>
    <w:rPr>
      <w:rFonts w:ascii="Calibri" w:hAnsi="Calibri" w:eastAsia="Calibri"/>
      <w:b/>
      <w:i w:val="0"/>
      <w:color w:val="000000"/>
      <w:sz w:val="46"/>
    </w:rPr>
  </w:style>
  <w:style w:type="paragraph" w:customStyle="1" w:styleId="MastheadSubtitle">
    <w:name w:val="Masthead Subtitle"/>
    <w:pPr>
      <w:keepNext/>
      <w:keepLines w:val="0"/>
      <w:widowControl/>
      <w:spacing w:before="0" w:after="240" w:line="240" w:lineRule="auto"/>
    </w:pPr>
    <w:rPr>
      <w:rFonts w:ascii="Calibri" w:hAnsi="Calibri" w:eastAsia="Calibri"/>
      <w:b w:val="0"/>
      <w:i w:val="0"/>
      <w:color w:val="373737"/>
      <w:sz w:val="28"/>
    </w:rPr>
  </w:style>
  <w:style w:type="paragraph" w:customStyle="1" w:styleId="MastheadMetadata">
    <w:name w:val="Masthead Metadata"/>
    <w:pPr>
      <w:keepNext w:val="0"/>
      <w:keepLines w:val="0"/>
      <w:widowControl/>
      <w:spacing w:before="0" w:after="40" w:line="240" w:lineRule="auto"/>
    </w:pPr>
    <w:rPr>
      <w:rFonts w:ascii="Calibri" w:hAnsi="Calibri" w:eastAsia="Calibri"/>
      <w:b w:val="0"/>
      <w:i w:val="0"/>
      <w:color w:val="000000"/>
      <w:sz w:val="21"/>
    </w:rPr>
  </w:style>
  <w:style w:type="paragraph" w:customStyle="1" w:styleId="TableCitation">
    <w:name w:val="Table Citation"/>
    <w:pPr>
      <w:keepNext/>
      <w:keepLines w:val="0"/>
      <w:widowControl/>
      <w:spacing w:before="80" w:after="80" w:line="240" w:lineRule="auto"/>
    </w:pPr>
    <w:rPr>
      <w:rFonts w:ascii="Calibri" w:hAnsi="Calibri" w:eastAsia="Calibri"/>
      <w:b w:val="0"/>
      <w:i/>
      <w:color w:val="666666"/>
      <w:sz w:val="18"/>
    </w:rPr>
  </w:style>
  <w:style w:type="paragraph" w:customStyle="1" w:styleId="GateTableHeader">
    <w:name w:val="Gate Table Header"/>
    <w:pPr>
      <w:keepNext w:val="0"/>
      <w:keepLines/>
      <w:widowControl/>
      <w:spacing w:before="0" w:after="0" w:line="240" w:lineRule="auto"/>
    </w:pPr>
    <w:rPr>
      <w:rFonts w:ascii="Calibri" w:hAnsi="Calibri" w:eastAsia="Calibri"/>
      <w:b/>
      <w:i w:val="0"/>
      <w:color w:val="1F4D78"/>
      <w:sz w:val="19"/>
    </w:rPr>
  </w:style>
  <w:style w:type="paragraph" w:customStyle="1" w:styleId="GateTableBody">
    <w:name w:val="Gate Table Body"/>
    <w:pPr>
      <w:keepNext w:val="0"/>
      <w:keepLines/>
      <w:widowControl/>
      <w:spacing w:before="0" w:after="0" w:line="240" w:lineRule="auto"/>
    </w:pPr>
    <w:rPr>
      <w:rFonts w:ascii="Calibri" w:hAnsi="Calibri" w:eastAsia="Calibri"/>
      <w:b w:val="0"/>
      <w:i w:val="0"/>
      <w:color w:val="000000"/>
      <w:sz w:val="19"/>
    </w:rPr>
  </w:style>
  <w:style w:type="paragraph" w:customStyle="1" w:styleId="PolicyNumber">
    <w:name w:val="Policy Number"/>
    <w:pPr>
      <w:keepNext w:val="0"/>
      <w:keepLines/>
      <w:widowControl/>
      <w:spacing w:before="0" w:after="160" w:line="280" w:lineRule="auto"/>
    </w:pPr>
    <w:rPr>
      <w:rFonts w:ascii="Calibri" w:hAnsi="Calibri" w:eastAsia="Calibri"/>
      <w:b w:val="0"/>
      <w:i w:val="0"/>
      <w:color w:val="000000"/>
      <w:sz w:val="22"/>
    </w:rPr>
  </w:style>
  <w:style w:type="character" w:customStyle="1" w:styleId="MetadataLabel">
    <w:name w:val="Metadata Label"/>
    <w:rPr>
      <w:rFonts w:ascii="Calibri" w:hAnsi="Calibri" w:eastAsia="Calibri"/>
      <w:b/>
      <w:i w:val="0"/>
      <w:color w:val="000000"/>
      <w:sz w:val="21"/>
    </w:rPr>
  </w:style>
  <w:style w:type="character" w:customStyle="1" w:styleId="DirectiveLabel">
    <w:name w:val="Directive Label"/>
    <w:rPr>
      <w:rFonts w:ascii="Calibri" w:hAnsi="Calibri" w:eastAsia="Calibri"/>
      <w:b/>
      <w:i w:val="0"/>
      <w:color w:val="1F4D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Selection Policy</dc:title>
  <dc:subject>Synthetic multi-format benchmark fixture</dc:subject>
  <dc:creator>Local LLM Benchmark Lab</dc:creator>
  <cp:keywords>synthetic benchmark, supplier selection, eligibility gates</cp:keywords>
  <dc:description>Project-authored synthetic policy fixture for read-only document analysis.</dc:description>
  <cp:lastModifiedBy>Local LLM Benchmark Lab</cp:lastModifiedBy>
  <cp:revision>1</cp:revision>
  <dcterms:created xsi:type="dcterms:W3CDTF">2026-09-08T16:00:00Z</dcterms:created>
  <dcterms:modified xsi:type="dcterms:W3CDTF">2026-09-08T16:00:00Z</dcterms:modified>
  <cp:category/>
</cp:coreProperties>
</file>