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Public comment — NIST request for information on modernizing the National Vulnerability Database</w:t>
      </w:r>
    </w:p>
    <w:p>
      <w:pPr>
        <w:spacing w:after="160"/>
      </w:pPr>
      <w:r>
        <w:rPr>
          <w:b/>
          <w:bCs/>
        </w:rPr>
        <w:t xml:space="preserve">Docket:</w:t>
      </w:r>
      <w:r>
        <w:t xml:space="preserve"> NIST-2026-0100 · Federal Register 2026-16371 (12 August 2026) </w:t>
      </w:r>
      <w:r>
        <w:rPr>
          <w:b/>
          <w:bCs/>
        </w:rPr>
        <w:t xml:space="preserve">Deadline:</w:t>
      </w:r>
      <w:r>
        <w:t xml:space="preserve"> 13 October 2026, 11:59pm ET · file at regulations.gov </w:t>
      </w:r>
      <w:r>
        <w:rPr>
          <w:b/>
          <w:bCs/>
        </w:rPr>
        <w:t xml:space="preserve">Topic area:</w:t>
      </w:r>
      <w:r>
        <w:t xml:space="preserve"> Data and standards. The notice says a comment may address any or all areas; this one addresses a single field.</w:t>
      </w:r>
    </w:p>
    <w:p>
      <w:pPr>
        <w:spacing w:after="160"/>
        <w:ind w:left="480"/>
      </w:pPr>
      <w:r>
        <w:rPr>
          <w:b/>
          <w:bCs/>
        </w:rPr>
        <w:t xml:space="preserve">DRAFT — not filed.</w:t>
      </w:r>
      <w:r>
        <w:t xml:space="preserve"> Fill in the two placeholders marked </w:t>
      </w:r>
      <w:r>
        <w:rPr>
          <w:rFonts w:ascii="Consolas" w:cs="Consolas" w:eastAsia="Consolas" w:hAnsi="Consolas"/>
        </w:rPr>
        <w:t xml:space="preserve">[…]</w:t>
      </w:r>
      <w:r>
        <w:t xml:space="preserve">, and read the checklist at the end. Comments are published in full and are never redacted, so include nothing you would not want public.</w:t>
      </w:r>
    </w:p>
    <w:p>
      <w:pPr>
        <w:spacing w:after="160"/>
      </w:pPr>
      <w:r>
        <w:rPr>
          <w:b/>
          <w:bCs/>
        </w:rPr>
        <w:t xml:space="preserve">From:</w:t>
      </w:r>
      <w:r>
        <w:t xml:space="preserve"> </w:t>
      </w:r>
      <w:r>
        <w:rPr>
          <w:rFonts w:ascii="Consolas" w:cs="Consolas" w:eastAsia="Consolas" w:hAnsi="Consolas"/>
        </w:rPr>
        <w:t xml:space="preserve">[NAME]</w:t>
      </w:r>
      <w:r>
        <w:t xml:space="preserve">, independent vulnerability-management practitioner, Ireland </w:t>
      </w:r>
      <w:r>
        <w:rPr>
          <w:b/>
          <w:bCs/>
        </w:rPr>
        <w:t xml:space="preserve">Interest to declare:</w:t>
      </w:r>
      <w:r>
        <w:t xml:space="preserve"> none. This is an independent, non-commercial project. I have no product and nothing for sale. All the data and code behind the numbers below is public: </w:t>
      </w:r>
      <w:hyperlink w:history="1" r:id="rIdv6abpnq4sxysovs5gzuz6">
        <w:r>
          <w:rPr>
            <w:rStyle w:val="Hyperlink"/>
          </w:rPr>
          <w:t xml:space="preserve">https://github.com/scolly2683/vuln-evidence-registry</w:t>
        </w:r>
      </w:hyperlink>
    </w:p>
    <w:p>
      <w:pPr>
        <w:pStyle w:val="Heading2"/>
        <w:spacing w:after="160" w:before="320"/>
      </w:pPr>
      <w:r>
        <w:t xml:space="preserve">In short</w:t>
      </w:r>
    </w:p>
    <w:p>
      <w:pPr>
        <w:spacing w:after="160"/>
      </w:pPr>
      <w:r>
        <w:t xml:space="preserve">The CVE record format already has a field for the one thing every defender needs to know: </w:t>
      </w:r>
      <w:r>
        <w:rPr>
          <w:b/>
          <w:bCs/>
        </w:rPr>
        <w:t xml:space="preserve">does this vulnerability actually apply to my systems?</w:t>
      </w:r>
      <w:r>
        <w:t xml:space="preserve"> The field is nearly always empty.</w:t>
      </w:r>
    </w:p>
    <w:p>
      <w:pPr>
        <w:spacing w:after="160"/>
      </w:pPr>
      <w:r>
        <w:t xml:space="preserve">Others have already told you </w:t>
      </w:r>
      <w:r>
        <w:rPr>
          <w:i/>
          <w:iCs/>
        </w:rPr>
        <w:t xml:space="preserve">how</w:t>
      </w:r>
      <w:r>
        <w:t xml:space="preserve"> empty. What nobody has shown is </w:t>
      </w:r>
      <w:r>
        <w:rPr>
          <w:b/>
          <w:bCs/>
        </w:rPr>
        <w:t xml:space="preserve">what difference it makes when it is filled in.</w:t>
      </w:r>
      <w:r>
        <w:t xml:space="preserve"> That is what I measured. The short version: on the records I looked at, filling it in was the difference between being able to determine whether a vulnerability applied and not.</w:t>
      </w:r>
    </w:p>
    <w:p>
      <w:pPr>
        <w:spacing w:after="160"/>
      </w:pPr>
      <w:r>
        <w:t xml:space="preserve">I have three things to say, and I have put the weaknesses of my own evidence at the end rather than leaving them out.</w:t>
      </w:r>
    </w:p>
    <w:p>
      <w:pPr>
        <w:pStyle w:val="Heading2"/>
        <w:spacing w:after="160" w:before="320"/>
      </w:pPr>
      <w:r>
        <w:t xml:space="preserve">1. Filling the field in removed every case where nothing could be determined</w:t>
      </w:r>
    </w:p>
    <w:p>
      <w:pPr>
        <w:spacing w:after="160"/>
      </w:pPr>
      <w:r>
        <w:t xml:space="preserve">The field is </w:t>
      </w:r>
      <w:r>
        <w:rPr>
          <w:rFonts w:ascii="Consolas" w:cs="Consolas" w:eastAsia="Consolas" w:hAnsi="Consolas"/>
        </w:rPr>
        <w:t xml:space="preserve">configurations</w:t>
      </w:r>
      <w:r>
        <w:t xml:space="preserve">. The schema describes it as </w:t>
      </w:r>
      <w:r>
        <w:rPr>
          <w:i/>
          <w:iCs/>
        </w:rPr>
        <w:t xml:space="preserve">"Configurations required for exploiting this vulnerability."</w:t>
      </w:r>
    </w:p>
    <w:p>
      <w:pPr>
        <w:spacing w:after="160"/>
      </w:pPr>
      <w:r>
        <w:t xml:space="preserve">Another comment on this docket reports that it is filled in on </w:t>
      </w:r>
      <w:r>
        <w:rPr>
          <w:b/>
          <w:bCs/>
        </w:rPr>
        <w:t xml:space="preserve">1,211 of 360,436</w:t>
      </w:r>
      <w:r>
        <w:t xml:space="preserve"> published records — about </w:t>
      </w:r>
      <w:r>
        <w:rPr>
          <w:b/>
          <w:bCs/>
        </w:rPr>
        <w:t xml:space="preserve">0.34%</w:t>
      </w:r>
      <w:r>
        <w:t xml:space="preserve"> — and that six organisations write 78% of those. A separate public project tracks how many CNAs have ever used it. Both count </w:t>
      </w:r>
      <w:r>
        <w:rPr>
          <w:b/>
          <w:bCs/>
        </w:rPr>
        <w:t xml:space="preserve">how often the field is present.</w:t>
      </w:r>
      <w:r>
        <w:t xml:space="preserve"> Neither asks </w:t>
      </w:r>
      <w:r>
        <w:rPr>
          <w:b/>
          <w:bCs/>
        </w:rPr>
        <w:t xml:space="preserve">what difference it makes.</w:t>
      </w:r>
    </w:p>
    <w:p>
      <w:pPr>
        <w:spacing w:after="160"/>
      </w:pPr>
      <w:r>
        <w:t xml:space="preserve">So I took 170 vulnerabilities that CISA lists as actively exploited, on firewalls, VPNs and similar edge equipment, and counted how many usable applicability conditions could be pulled out of whatever text the vendor actually published: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Pr>
          <w:p>
            <w:pPr>
              <w:spacing w:after="60" w:before="60"/>
            </w:pPr>
            <w:r>
              <w:t xml:space="preserve"/>
            </w:r>
          </w:p>
        </w:tc>
        <w:tc>
          <w:tcPr>
            <w:tcW w:type="dxa" w:w="2340"/>
          </w:tcPr>
          <w:p>
            <w:pPr>
              <w:spacing w:after="60" w:before="60"/>
            </w:pPr>
            <w:r>
              <w:t xml:space="preserve">vulnerabilities</w:t>
            </w:r>
          </w:p>
        </w:tc>
        <w:tc>
          <w:tcPr>
            <w:tcW w:type="dxa" w:w="2340"/>
          </w:tcPr>
          <w:p>
            <w:pPr>
              <w:spacing w:after="60" w:before="60"/>
            </w:pPr>
            <w:r>
              <w:t xml:space="preserve">average conditions found</w:t>
            </w:r>
          </w:p>
        </w:tc>
        <w:tc>
          <w:tcPr>
            <w:tcW w:type="dxa" w:w="2340"/>
          </w:tcPr>
          <w:p>
            <w:pPr>
              <w:spacing w:after="60" w:before="60"/>
            </w:pPr>
            <w:r>
              <w:t xml:space="preserve">records where nothing could be found</w:t>
            </w:r>
          </w:p>
        </w:tc>
      </w:tr>
      <w:tr>
        <w:trPr>
          <w:tblHeader w:val="false"/>
        </w:trPr>
        <w:tc>
          <w:tcPr>
            <w:tcW w:type="dxa" w:w="2340"/>
          </w:tcPr>
          <w:p>
            <w:pPr>
              <w:spacing w:after="60" w:before="60"/>
            </w:pPr>
            <w:r>
              <w:t xml:space="preserve">vendor filled in the field</w:t>
            </w:r>
          </w:p>
        </w:tc>
        <w:tc>
          <w:tcPr>
            <w:tcW w:type="dxa" w:w="2340"/>
          </w:tcPr>
          <w:p>
            <w:pPr>
              <w:spacing w:after="60" w:before="60"/>
            </w:pPr>
            <w:r>
              <w:t xml:space="preserve">13</w:t>
            </w:r>
          </w:p>
        </w:tc>
        <w:tc>
          <w:tcPr>
            <w:tcW w:type="dxa" w:w="2340"/>
          </w:tcPr>
          <w:p>
            <w:pPr>
              <w:spacing w:after="60" w:before="60"/>
            </w:pPr>
            <w:r>
              <w:rPr>
                <w:b/>
                <w:bCs/>
              </w:rPr>
              <w:t xml:space="preserve">2.54</w:t>
            </w:r>
          </w:p>
        </w:tc>
        <w:tc>
          <w:tcPr>
            <w:tcW w:type="dxa" w:w="2340"/>
          </w:tcPr>
          <w:p>
            <w:pPr>
              <w:spacing w:after="60" w:before="60"/>
            </w:pPr>
            <w:r>
              <w:rPr>
                <w:b/>
                <w:bCs/>
              </w:rPr>
              <w:t xml:space="preserve">none (0%)</w:t>
            </w:r>
          </w:p>
        </w:tc>
      </w:tr>
      <w:tr>
        <w:trPr>
          <w:tblHeader w:val="false"/>
        </w:trPr>
        <w:tc>
          <w:tcPr>
            <w:tcW w:type="dxa" w:w="2340"/>
          </w:tcPr>
          <w:p>
            <w:pPr>
              <w:spacing w:after="60" w:before="60"/>
            </w:pPr>
            <w:r>
              <w:t xml:space="preserve">vendor did not</w:t>
            </w:r>
          </w:p>
        </w:tc>
        <w:tc>
          <w:tcPr>
            <w:tcW w:type="dxa" w:w="2340"/>
          </w:tcPr>
          <w:p>
            <w:pPr>
              <w:spacing w:after="60" w:before="60"/>
            </w:pPr>
            <w:r>
              <w:t xml:space="preserve">157</w:t>
            </w:r>
          </w:p>
        </w:tc>
        <w:tc>
          <w:tcPr>
            <w:tcW w:type="dxa" w:w="2340"/>
          </w:tcPr>
          <w:p>
            <w:pPr>
              <w:spacing w:after="60" w:before="60"/>
            </w:pPr>
            <w:r>
              <w:t xml:space="preserve">1.15</w:t>
            </w:r>
          </w:p>
        </w:tc>
        <w:tc>
          <w:tcPr>
            <w:tcW w:type="dxa" w:w="2340"/>
          </w:tcPr>
          <w:p>
            <w:pPr>
              <w:spacing w:after="60" w:before="60"/>
            </w:pPr>
            <w:r>
              <w:t xml:space="preserve">50 (32%)</w:t>
            </w:r>
          </w:p>
        </w:tc>
      </w:tr>
    </w:tbl>
    <w:p>
      <w:pPr>
        <w:spacing w:after="160"/>
      </w:pPr>
    </w:p>
    <w:p>
      <w:pPr>
        <w:spacing w:after="160"/>
      </w:pPr>
      <w:r>
        <w:t xml:space="preserve">An obvious objection: of course you find more, the filled-in field is simply more text. Fair. So here is the same question asked </w:t>
      </w:r>
      <w:r>
        <w:rPr>
          <w:b/>
          <w:bCs/>
        </w:rPr>
        <w:t xml:space="preserve">of a single vendor</w:t>
      </w:r>
      <w:r>
        <w:t xml:space="preserve">, comparing their own records with and without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Pr>
          <w:p>
            <w:pPr>
              <w:spacing w:after="60" w:before="60"/>
            </w:pPr>
            <w:r>
              <w:t xml:space="preserve"/>
            </w:r>
          </w:p>
        </w:tc>
        <w:tc>
          <w:tcPr>
            <w:tcW w:type="dxa" w:w="2340"/>
          </w:tcPr>
          <w:p>
            <w:pPr>
              <w:spacing w:after="60" w:before="60"/>
            </w:pPr>
            <w:r>
              <w:t xml:space="preserve">vulnerabilities</w:t>
            </w:r>
          </w:p>
        </w:tc>
        <w:tc>
          <w:tcPr>
            <w:tcW w:type="dxa" w:w="2340"/>
          </w:tcPr>
          <w:p>
            <w:pPr>
              <w:spacing w:after="60" w:before="60"/>
            </w:pPr>
            <w:r>
              <w:t xml:space="preserve">average conditions found</w:t>
            </w:r>
          </w:p>
        </w:tc>
        <w:tc>
          <w:tcPr>
            <w:tcW w:type="dxa" w:w="2340"/>
          </w:tcPr>
          <w:p>
            <w:pPr>
              <w:spacing w:after="60" w:before="60"/>
            </w:pPr>
            <w:r>
              <w:t xml:space="preserve">records where nothing could be found</w:t>
            </w:r>
          </w:p>
        </w:tc>
      </w:tr>
      <w:tr>
        <w:trPr>
          <w:tblHeader w:val="false"/>
        </w:trPr>
        <w:tc>
          <w:tcPr>
            <w:tcW w:type="dxa" w:w="2340"/>
          </w:tcPr>
          <w:p>
            <w:pPr>
              <w:spacing w:after="60" w:before="60"/>
            </w:pPr>
            <w:r>
              <w:rPr>
                <w:b/>
                <w:bCs/>
              </w:rPr>
              <w:t xml:space="preserve">Palo Alto — field filled in</w:t>
            </w:r>
          </w:p>
        </w:tc>
        <w:tc>
          <w:tcPr>
            <w:tcW w:type="dxa" w:w="2340"/>
          </w:tcPr>
          <w:p>
            <w:pPr>
              <w:spacing w:after="60" w:before="60"/>
            </w:pPr>
            <w:r>
              <w:t xml:space="preserve">8</w:t>
            </w:r>
          </w:p>
        </w:tc>
        <w:tc>
          <w:tcPr>
            <w:tcW w:type="dxa" w:w="2340"/>
          </w:tcPr>
          <w:p>
            <w:pPr>
              <w:spacing w:after="60" w:before="60"/>
            </w:pPr>
            <w:r>
              <w:rPr>
                <w:b/>
                <w:bCs/>
              </w:rPr>
              <w:t xml:space="preserve">2.88</w:t>
            </w:r>
          </w:p>
        </w:tc>
        <w:tc>
          <w:tcPr>
            <w:tcW w:type="dxa" w:w="2340"/>
          </w:tcPr>
          <w:p>
            <w:pPr>
              <w:spacing w:after="60" w:before="60"/>
            </w:pPr>
            <w:r>
              <w:rPr>
                <w:b/>
                <w:bCs/>
              </w:rPr>
              <w:t xml:space="preserve">none (0%)</w:t>
            </w:r>
          </w:p>
        </w:tc>
      </w:tr>
      <w:tr>
        <w:trPr>
          <w:tblHeader w:val="false"/>
        </w:trPr>
        <w:tc>
          <w:tcPr>
            <w:tcW w:type="dxa" w:w="2340"/>
          </w:tcPr>
          <w:p>
            <w:pPr>
              <w:spacing w:after="60" w:before="60"/>
            </w:pPr>
            <w:r>
              <w:rPr>
                <w:b/>
                <w:bCs/>
              </w:rPr>
              <w:t xml:space="preserve">Palo Alto — field left empty</w:t>
            </w:r>
          </w:p>
        </w:tc>
        <w:tc>
          <w:tcPr>
            <w:tcW w:type="dxa" w:w="2340"/>
          </w:tcPr>
          <w:p>
            <w:pPr>
              <w:spacing w:after="60" w:before="60"/>
            </w:pPr>
            <w:r>
              <w:t xml:space="preserve">3</w:t>
            </w:r>
          </w:p>
        </w:tc>
        <w:tc>
          <w:tcPr>
            <w:tcW w:type="dxa" w:w="2340"/>
          </w:tcPr>
          <w:p>
            <w:pPr>
              <w:spacing w:after="60" w:before="60"/>
            </w:pPr>
            <w:r>
              <w:rPr>
                <w:b/>
                <w:bCs/>
              </w:rPr>
              <w:t xml:space="preserve">0.00</w:t>
            </w:r>
          </w:p>
        </w:tc>
        <w:tc>
          <w:tcPr>
            <w:tcW w:type="dxa" w:w="2340"/>
          </w:tcPr>
          <w:p>
            <w:pPr>
              <w:spacing w:after="60" w:before="60"/>
            </w:pPr>
            <w:r>
              <w:rPr>
                <w:b/>
                <w:bCs/>
              </w:rPr>
              <w:t xml:space="preserve">all 3 (100%)</w:t>
            </w:r>
          </w:p>
        </w:tc>
      </w:tr>
      <w:tr>
        <w:trPr>
          <w:tblHeader w:val="false"/>
        </w:trPr>
        <w:tc>
          <w:tcPr>
            <w:tcW w:type="dxa" w:w="2340"/>
          </w:tcPr>
          <w:p>
            <w:pPr>
              <w:spacing w:after="60" w:before="60"/>
            </w:pPr>
            <w:r>
              <w:t xml:space="preserve">Juniper — field filled in</w:t>
            </w:r>
          </w:p>
        </w:tc>
        <w:tc>
          <w:tcPr>
            <w:tcW w:type="dxa" w:w="2340"/>
          </w:tcPr>
          <w:p>
            <w:pPr>
              <w:spacing w:after="60" w:before="60"/>
            </w:pPr>
            <w:r>
              <w:t xml:space="preserve">5</w:t>
            </w:r>
          </w:p>
        </w:tc>
        <w:tc>
          <w:tcPr>
            <w:tcW w:type="dxa" w:w="2340"/>
          </w:tcPr>
          <w:p>
            <w:pPr>
              <w:spacing w:after="60" w:before="60"/>
            </w:pPr>
            <w:r>
              <w:t xml:space="preserve">2.00</w:t>
            </w:r>
          </w:p>
        </w:tc>
        <w:tc>
          <w:tcPr>
            <w:tcW w:type="dxa" w:w="2340"/>
          </w:tcPr>
          <w:p>
            <w:pPr>
              <w:spacing w:after="60" w:before="60"/>
            </w:pPr>
            <w:r>
              <w:t xml:space="preserve">none (0%)</w:t>
            </w:r>
          </w:p>
        </w:tc>
      </w:tr>
    </w:tbl>
    <w:p>
      <w:pPr>
        <w:spacing w:after="160"/>
      </w:pPr>
    </w:p>
    <w:p>
      <w:pPr>
        <w:spacing w:after="160"/>
      </w:pPr>
      <w:r>
        <w:t xml:space="preserve">These are records from the same assigning organisation, covering the same product family.</w:t>
      </w:r>
    </w:p>
    <w:p>
      <w:pPr>
        <w:spacing w:after="160"/>
      </w:pPr>
      <w:r>
        <w:rPr>
          <w:b/>
          <w:bCs/>
        </w:rPr>
        <w:t xml:space="preserve">Of the 8 records where the field was filled in, every one yielded at least one usable condition. Of the 3 where it was left empty, none did.</w:t>
      </w:r>
    </w:p>
    <w:p>
      <w:pPr>
        <w:spacing w:after="160"/>
      </w:pPr>
      <w:r>
        <w:t xml:space="preserve">Juniper behaves the same way — and Juniper is the vendor another commenter singled out as using the field well.</w:t>
      </w:r>
    </w:p>
    <w:p>
      <w:pPr>
        <w:spacing w:after="160"/>
      </w:pPr>
      <w:r>
        <w:t xml:space="preserve">This is the part of the argument for requiring the field that was missing. To be precise about what the numbers do and do not show: without the field, about a third of records (50 of 157) yielded no usable condition at all, and the rest yielded fewer. With the field, none did. The claim is not that advisories are useless without it — most still say something — but that filling it in reliably removes the cases where nothing can be determined.</w:t>
      </w:r>
    </w:p>
    <w:p>
      <w:pPr>
        <w:pStyle w:val="Heading2"/>
        <w:spacing w:after="160" w:before="320"/>
      </w:pPr>
      <w:r>
        <w:t xml:space="preserve">2. "No special configuration is required" is a useful answer, not padding</w:t>
      </w:r>
    </w:p>
    <w:p>
      <w:pPr>
        <w:spacing w:after="160"/>
      </w:pPr>
      <w:r>
        <w:t xml:space="preserve">Another comment notes that the most common value in the field, appearing in 62 records, is </w:t>
      </w:r>
      <w:r>
        <w:rPr>
          <w:i/>
          <w:iCs/>
        </w:rPr>
        <w:t xml:space="preserve">"No special configuration is required to be affected by this issue."</w:t>
      </w:r>
      <w:r>
        <w:t xml:space="preserve"> It is offered as an example of low-quality filler.</w:t>
      </w:r>
    </w:p>
    <w:p>
      <w:pPr>
        <w:spacing w:after="160"/>
      </w:pPr>
      <w:r>
        <w:t xml:space="preserve">I would ask you not to read it that way. </w:t>
      </w:r>
      <w:r>
        <w:rPr>
          <w:b/>
          <w:bCs/>
        </w:rPr>
        <w:t xml:space="preserve">A vendor saying "nothing special is needed" is telling you something. A vendor saying nothing at all is not.</w:t>
      </w:r>
    </w:p>
    <w:p>
      <w:pPr>
        <w:spacing w:after="160"/>
      </w:pPr>
      <w:r>
        <w:t xml:space="preserve">Those are opposite instructions in practice:</w:t>
      </w:r>
    </w:p>
    <w:p>
      <w:pPr>
        <w:pStyle w:val="ListParagraph"/>
        <w:numPr>
          <w:ilvl w:val="0"/>
          <w:numId w:val="1"/>
        </w:numPr>
        <w:spacing w:after="120"/>
      </w:pPr>
      <w:r>
        <w:rPr>
          <w:i/>
          <w:iCs/>
        </w:rPr>
        <w:t xml:space="preserve">"Nothing gates this"</w:t>
      </w:r>
      <w:r>
        <w:t xml:space="preserve"> means: stop investigating, patch it.</w:t>
      </w:r>
    </w:p>
    <w:p>
      <w:pPr>
        <w:pStyle w:val="ListParagraph"/>
        <w:numPr>
          <w:ilvl w:val="0"/>
          <w:numId w:val="1"/>
        </w:numPr>
        <w:spacing w:after="120"/>
      </w:pPr>
      <w:r>
        <w:rPr>
          <w:i/>
          <w:iCs/>
        </w:rPr>
        <w:t xml:space="preserve">Silence</w:t>
      </w:r>
      <w:r>
        <w:t xml:space="preserve"> means: nobody wrote anything down. There may be no condition, or there may be one that went unrecorded. You cannot tell which.</w:t>
      </w:r>
    </w:p>
    <w:p>
      <w:pPr>
        <w:spacing w:after="160"/>
      </w:pPr>
      <w:r>
        <w:t xml:space="preserve">Today those two look identical to any tool reading the data, because both come out as an empty field.</w:t>
      </w:r>
    </w:p>
    <w:p>
      <w:pPr>
        <w:spacing w:after="160"/>
      </w:pPr>
      <w:r>
        <w:rPr>
          <w:b/>
          <w:bCs/>
        </w:rPr>
        <w:t xml:space="preserve">What I would ask for:</w:t>
      </w:r>
      <w:r>
        <w:t xml:space="preserve"> if you give this field structure, the first and most important piece is not a detailed catalogue of condition types. It is a simple, machine-readable answer to three options:</w:t>
      </w:r>
    </w:p>
    <w:p>
      <w:pPr>
        <w:pStyle w:val="ListParagraph"/>
        <w:numPr>
          <w:ilvl w:val="0"/>
          <w:numId w:val="1"/>
        </w:numPr>
        <w:spacing w:after="120"/>
      </w:pPr>
      <w:r>
        <w:t xml:space="preserve">no condition applies — running the affected version is enough</w:t>
      </w:r>
    </w:p>
    <w:p>
      <w:pPr>
        <w:pStyle w:val="ListParagraph"/>
        <w:numPr>
          <w:ilvl w:val="0"/>
          <w:numId w:val="1"/>
        </w:numPr>
        <w:spacing w:after="120"/>
      </w:pPr>
      <w:r>
        <w:t xml:space="preserve">a condition applies, and here it is</w:t>
      </w:r>
    </w:p>
    <w:p>
      <w:pPr>
        <w:pStyle w:val="ListParagraph"/>
        <w:numPr>
          <w:ilvl w:val="0"/>
          <w:numId w:val="1"/>
        </w:numPr>
        <w:spacing w:after="120"/>
      </w:pPr>
      <w:r>
        <w:t xml:space="preserve">not assessed</w:t>
      </w:r>
    </w:p>
    <w:p>
      <w:pPr>
        <w:spacing w:after="160"/>
      </w:pPr>
      <w:r>
        <w:t xml:space="preserve">Everything else can stay as ordinary prose.</w:t>
      </w:r>
    </w:p>
    <w:p>
      <w:pPr>
        <w:spacing w:after="160"/>
      </w:pPr>
      <w:r>
        <w:t xml:space="preserve">I would be cautious about anything more ambitious, for a reason that is on the record. The draft version 4 of this schema described the same field as </w:t>
      </w:r>
      <w:r>
        <w:rPr>
          <w:i/>
          <w:iCs/>
        </w:rPr>
        <w:t xml:space="preserve">"configuration information (format to be decided, we may for example support XCCDF or simple text based descriptions)"</w:t>
      </w:r>
      <w:r>
        <w:t xml:space="preserve">. That decision was never made, and the field has gone almost unused ever since. My view — and it is a view, not a finding — is that a simple requirement CNAs will actually meet is more useful than a richer format that takes years to agree. Ask for the three-way answer now. Add structure later, if it is wanted.</w:t>
      </w:r>
    </w:p>
    <w:p>
      <w:pPr>
        <w:pStyle w:val="Heading2"/>
        <w:spacing w:after="160" w:before="320"/>
      </w:pPr>
      <w:r>
        <w:t xml:space="preserve">3. A public test set of the kind being asked for already exists, and you are welcome to it</w:t>
      </w:r>
    </w:p>
    <w:p>
      <w:pPr>
        <w:spacing w:after="160"/>
      </w:pPr>
      <w:r>
        <w:t xml:space="preserve">Another recommendation on this docket asks NIST to publish a versioned public benchmark of CVEs with ground-truth exploitability labels. I support that, and rather than only ask for it, I can offer a starting point.</w:t>
      </w:r>
    </w:p>
    <w:p>
      <w:pPr>
        <w:spacing w:after="160"/>
      </w:pPr>
      <w:r>
        <w:t xml:space="preserve">The project linked above maintains:</w:t>
      </w:r>
    </w:p>
    <w:p>
      <w:pPr>
        <w:pStyle w:val="ListParagraph"/>
        <w:numPr>
          <w:ilvl w:val="0"/>
          <w:numId w:val="1"/>
        </w:numPr>
        <w:spacing w:after="120"/>
      </w:pPr>
      <w:r>
        <w:rPr>
          <w:b/>
          <w:bCs/>
        </w:rPr>
        <w:t xml:space="preserve">A written standard</w:t>
      </w:r>
      <w:r>
        <w:t xml:space="preserve"> for pulling applicability conditions out of advisory text. Its central rule is that </w:t>
      </w:r>
      <w:r>
        <w:rPr>
          <w:b/>
          <w:bCs/>
        </w:rPr>
        <w:t xml:space="preserve">every condition must quote the sentence it came from</w:t>
      </w:r>
      <w:r>
        <w:t xml:space="preserve">, word for word. The quote is checked automatically against the original advisory. If a condition cannot be traced to the text, it is thrown away rather than stored.</w:t>
      </w:r>
    </w:p>
    <w:p>
      <w:pPr>
        <w:pStyle w:val="ListParagraph"/>
        <w:numPr>
          <w:ilvl w:val="0"/>
          <w:numId w:val="1"/>
        </w:numPr>
        <w:spacing w:after="120"/>
      </w:pPr>
      <w:r>
        <w:rPr>
          <w:b/>
          <w:bCs/>
        </w:rPr>
        <w:t xml:space="preserve">Two sets of hand-checked records</w:t>
      </w:r>
      <w:r>
        <w:t xml:space="preserve"> drawn from CISA's exploited-vulnerabilities catalogue: 50 used to develop the standard, and a separate 30 held back and never used to tune it. The rules were locked before those 30 were touched, so they cannot be adjusted after the fact to flatter the result.</w:t>
      </w:r>
    </w:p>
    <w:p>
      <w:pPr>
        <w:pStyle w:val="ListParagraph"/>
        <w:numPr>
          <w:ilvl w:val="0"/>
          <w:numId w:val="1"/>
        </w:numPr>
        <w:spacing w:after="120"/>
      </w:pPr>
      <w:r>
        <w:rPr>
          <w:b/>
          <w:bCs/>
        </w:rPr>
        <w:t xml:space="preserve">Published results, with the uncertainty shown</w:t>
      </w:r>
      <w:r>
        <w:t xml:space="preserve"> and a written list of the method's own weaknesses.</w:t>
      </w:r>
    </w:p>
    <w:p>
      <w:pPr>
        <w:spacing w:after="160"/>
      </w:pPr>
      <w:r>
        <w:t xml:space="preserve">On the 30 held-back records, checked against a second, independently produced set of answers:</w:t>
      </w:r>
    </w:p>
    <w:p>
      <w:pPr>
        <w:pStyle w:val="ListParagraph"/>
        <w:numPr>
          <w:ilvl w:val="0"/>
          <w:numId w:val="1"/>
        </w:numPr>
        <w:spacing w:after="120"/>
      </w:pPr>
      <w:r>
        <w:rPr>
          <w:b/>
          <w:bCs/>
        </w:rPr>
        <w:t xml:space="preserve">every one of the 43 quoted sentences was genuine</w:t>
      </w:r>
      <w:r>
        <w:t xml:space="preserve"> — 43 of 43</w:t>
      </w:r>
    </w:p>
    <w:p>
      <w:pPr>
        <w:pStyle w:val="ListParagraph"/>
        <w:numPr>
          <w:ilvl w:val="0"/>
          <w:numId w:val="1"/>
        </w:numPr>
        <w:spacing w:after="120"/>
      </w:pPr>
      <w:r>
        <w:rPr>
          <w:b/>
          <w:bCs/>
        </w:rPr>
        <w:t xml:space="preserve">the two readers agreed on all 29 records where the answer was "no condition"</w:t>
      </w:r>
      <w:r>
        <w:t xml:space="preserve"> — 29 of 29</w:t>
      </w:r>
    </w:p>
    <w:p>
      <w:pPr>
        <w:pStyle w:val="ListParagraph"/>
        <w:numPr>
          <w:ilvl w:val="0"/>
          <w:numId w:val="1"/>
        </w:numPr>
        <w:spacing w:after="120"/>
      </w:pPr>
      <w:r>
        <w:rPr>
          <w:b/>
          <w:bCs/>
        </w:rPr>
        <w:t xml:space="preserve">they agreed on 89% of the conditions themselves</w:t>
      </w:r>
      <w:r>
        <w:t xml:space="preserve"> (with a realistic range of 74%–95%, given only 30 records)</w:t>
      </w:r>
    </w:p>
    <w:p>
      <w:pPr>
        <w:spacing w:after="160"/>
      </w:pPr>
      <w:r>
        <w:t xml:space="preserve">It is free to use, under a non-commercial licence. NIST, the CVE Program or anyone else is welcome to adopt it, extend it, pull it apart, or replace it with something better.</w:t>
      </w:r>
    </w:p>
    <w:p>
      <w:pPr>
        <w:pStyle w:val="Heading2"/>
        <w:spacing w:after="160" w:before="320"/>
      </w:pPr>
      <w:r>
        <w:t xml:space="preserve">What is weak about my evidence</w:t>
      </w:r>
    </w:p>
    <w:p>
      <w:pPr>
        <w:pStyle w:val="ListParagraph"/>
        <w:numPr>
          <w:ilvl w:val="0"/>
          <w:numId w:val="1"/>
        </w:numPr>
        <w:spacing w:after="120"/>
      </w:pPr>
      <w:r>
        <w:rPr>
          <w:b/>
          <w:bCs/>
        </w:rPr>
        <w:t xml:space="preserve">The main result rests on 13 records, from two vendors.</w:t>
      </w:r>
      <w:r>
        <w:t xml:space="preserve"> It shows the </w:t>
      </w:r>
      <w:r>
        <w:rPr>
          <w:i/>
          <w:iCs/>
        </w:rPr>
        <w:t xml:space="preserve">kind</w:t>
      </w:r>
      <w:r>
        <w:t xml:space="preserve"> of difference the field makes, and it holds up when I compare a single vendor against itself. It does not tell you the size of that difference across the whole ecosystem. Somebody should repeat this on a larger and less selective sample before it is used to justify policy.</w:t>
      </w:r>
    </w:p>
    <w:p>
      <w:pPr>
        <w:pStyle w:val="ListParagraph"/>
        <w:numPr>
          <w:ilvl w:val="0"/>
          <w:numId w:val="1"/>
        </w:numPr>
        <w:spacing w:after="120"/>
      </w:pPr>
      <w:r>
        <w:rPr>
          <w:b/>
          <w:bCs/>
        </w:rPr>
        <w:t xml:space="preserve">I only looked at CISA's exploited-vulnerabilities catalogue.</w:t>
      </w:r>
      <w:r>
        <w:t xml:space="preserve"> That list is curated, and everything on it is known to be exploited. The fill rate I measure there — 21 of 1,687, about 1.2% — is higher than the 0.34% measured across all CVEs, which fits, since that list leans towards large vendors. Within it the rate is rising: 0% before 2020, 1.2% for 2020–2023, 2.7% from 2024 onward.</w:t>
      </w:r>
    </w:p>
    <w:p>
      <w:pPr>
        <w:pStyle w:val="ListParagraph"/>
        <w:numPr>
          <w:ilvl w:val="0"/>
          <w:numId w:val="1"/>
        </w:numPr>
        <w:spacing w:after="120"/>
      </w:pPr>
      <w:r>
        <w:rPr>
          <w:b/>
          <w:bCs/>
        </w:rPr>
        <w:t xml:space="preserve">The conditions were extracted by an AI system, not read by a person.</w:t>
      </w:r>
      <w:r>
        <w:t xml:space="preserve"> The 89% agreement figure above is agreement with a second AI system from the same family, so the two may share blind spots and 89% should be treated as a best case, not a fair estimate. A comparison against a human reader is designed but not yet done, and that gap is written down in the project's own documentation.</w:t>
      </w:r>
    </w:p>
    <w:p>
      <w:pPr>
        <w:pStyle w:val="ListParagraph"/>
        <w:numPr>
          <w:ilvl w:val="0"/>
          <w:numId w:val="1"/>
        </w:numPr>
        <w:spacing w:after="120"/>
      </w:pPr>
      <w:r>
        <w:rPr>
          <w:b/>
          <w:bCs/>
        </w:rPr>
        <w:t xml:space="preserve">I am not a CNA.</w:t>
      </w:r>
      <w:r>
        <w:t xml:space="preserve"> I do not publish CVE records. This is the view from someone who consumes this data, not someone who produces it.</w:t>
      </w:r>
    </w:p>
    <w:p>
      <w:pPr>
        <w:pStyle w:val="Heading2"/>
        <w:spacing w:after="160" w:before="320"/>
      </w:pPr>
      <w:r>
        <w:t xml:space="preserve">What I am asking for</w:t>
      </w:r>
    </w:p>
    <w:p>
      <w:pPr>
        <w:spacing w:after="160"/>
      </w:pPr>
      <w:r>
        <w:t xml:space="preserve">1. </w:t>
      </w:r>
      <w:r>
        <w:rPr>
          <w:b/>
          <w:bCs/>
        </w:rPr>
        <w:t xml:space="preserve">Require the `configurations` field where the vendor already knows the answer.</w:t>
      </w:r>
      <w:r>
        <w:t xml:space="preserve"> This supports a recommendation already before you. Section 1 is the evidence for it. 2. </w:t>
      </w:r>
      <w:r>
        <w:rPr>
          <w:b/>
          <w:bCs/>
        </w:rPr>
        <w:t xml:space="preserve">Start with the three-way answer</w:t>
      </w:r>
      <w:r>
        <w:t xml:space="preserve"> — no condition / condition, here it is / not assessed — before any richer format. Section 2 explains why. 3. </w:t>
      </w:r>
      <w:r>
        <w:rPr>
          <w:b/>
          <w:bCs/>
        </w:rPr>
        <w:t xml:space="preserve">Write the field down somewhere a CNA will see it.</w:t>
      </w:r>
      <w:r>
        <w:t xml:space="preserve"> It is not mentioned at all in the CNA Operational Rules (versions 4.0 and 4.1.0 mention it zero times; only the general clause 5.1.13, "MAY contain optional elements", applies). The CVE Program has already published a short quick-start guide for another optional field, CPE applicability statements, which shows such guides do get written for optional fields. I think the near-zero usage is better explained by a field nobody was told about than by unwilling vendors: the main authoring tool, Vulnogram, already offers it — under the clearer name "Required Configuration for Exposure" — tucked at the bottom of a list of optional extras. 4. </w:t>
      </w:r>
      <w:r>
        <w:rPr>
          <w:b/>
          <w:bCs/>
        </w:rPr>
        <w:t xml:space="preserve">Publish coverage as a rate, by year of publication, and keep the series going.</w:t>
      </w:r>
      <w:r>
        <w:t xml:space="preserve"> Also supports a recommendation already before you. My reasoning is that a published, repeated measurement gives CNAs something to be measured against, as already happens for severity scores and weakness classifications — though I have not tried to establish that those published metrics caused the improvement in them.</w:t>
      </w:r>
    </w:p>
    <w:p>
      <w:pPr>
        <w:pStyle w:val="Heading2"/>
        <w:spacing w:after="160" w:before="320"/>
      </w:pPr>
      <w:r>
        <w:t xml:space="preserve">One point about naming</w:t>
      </w:r>
    </w:p>
    <w:p>
      <w:pPr>
        <w:spacing w:after="160"/>
      </w:pPr>
      <w:r>
        <w:t xml:space="preserve">Two different things in this ecosystem are called "configurations": the CPE applicability statements used by the NVD, and this free-text field in the CVE record format. The CVE Program named its own newer field </w:t>
      </w:r>
      <w:r>
        <w:rPr>
          <w:rFonts w:ascii="Consolas" w:cs="Consolas" w:eastAsia="Consolas" w:hAnsi="Consolas"/>
        </w:rPr>
        <w:t xml:space="preserve">cpeApplicability</w:t>
      </w:r>
      <w:r>
        <w:t xml:space="preserve"> specifically </w:t>
      </w:r>
      <w:r>
        <w:rPr>
          <w:i/>
          <w:iCs/>
        </w:rPr>
        <w:t xml:space="preserve">"to avoid conflict with the existing and unrelated configurations array"</w:t>
      </w:r>
      <w:r>
        <w:t xml:space="preserve">. This comment is only about the second one. Any work to structure it should fix that name clash rather than inherit it.</w:t>
      </w:r>
    </w:p>
    <w:p>
      <w:pPr>
        <w:pStyle w:val="Heading2"/>
        <w:spacing w:after="160" w:before="320"/>
      </w:pPr>
      <w:r>
        <w:t xml:space="preserve">Sources</w:t>
      </w:r>
    </w:p>
    <w:p>
      <w:pPr>
        <w:pStyle w:val="ListParagraph"/>
        <w:numPr>
          <w:ilvl w:val="0"/>
          <w:numId w:val="1"/>
        </w:numPr>
        <w:spacing w:after="120"/>
      </w:pPr>
      <w:r>
        <w:t xml:space="preserve">CVE record format schema: </w:t>
      </w:r>
      <w:hyperlink w:history="1" r:id="rIdbrcvr8v1gxx4fyksjcu_k">
        <w:r>
          <w:rPr>
            <w:rStyle w:val="Hyperlink"/>
          </w:rPr>
          <w:t xml:space="preserve">https://cveproject.github.io/cve-schema/schema/CVE_Record_Format.json</w:t>
        </w:r>
      </w:hyperlink>
    </w:p>
    <w:p>
      <w:pPr>
        <w:pStyle w:val="ListParagraph"/>
        <w:numPr>
          <w:ilvl w:val="0"/>
          <w:numId w:val="1"/>
        </w:numPr>
        <w:spacing w:after="120"/>
      </w:pPr>
      <w:r>
        <w:t xml:space="preserve">Konvu, </w:t>
      </w:r>
      <w:r>
        <w:rPr>
          <w:i/>
          <w:iCs/>
        </w:rPr>
        <w:t xml:space="preserve">"NIST is asking how to fix the NVD, go tell them"</w:t>
      </w:r>
      <w:r>
        <w:t xml:space="preserve">, 18 August 2026: </w:t>
      </w:r>
      <w:hyperlink w:history="1" r:id="rIdle_l338fueqcfxj6yswuq">
        <w:r>
          <w:rPr>
            <w:rStyle w:val="Hyperlink"/>
          </w:rPr>
          <w:t xml:space="preserve">https://konvu.com/blog/how-to-fix-the-nvd</w:t>
        </w:r>
      </w:hyperlink>
    </w:p>
    <w:p>
      <w:pPr>
        <w:pStyle w:val="ListParagraph"/>
        <w:numPr>
          <w:ilvl w:val="0"/>
          <w:numId w:val="1"/>
        </w:numPr>
        <w:spacing w:after="120"/>
      </w:pPr>
      <w:r>
        <w:t xml:space="preserve">CNAScoreCard (RogoLabs): </w:t>
      </w:r>
      <w:hyperlink w:history="1" r:id="rIdtllcbjbvcniqv4zhcdroq">
        <w:r>
          <w:rPr>
            <w:rStyle w:val="Hyperlink"/>
          </w:rPr>
          <w:t xml:space="preserve">https://github.com/RogoLabs/CNAScoreCard</w:t>
        </w:r>
      </w:hyperlink>
    </w:p>
    <w:p>
      <w:pPr>
        <w:pStyle w:val="ListParagraph"/>
        <w:numPr>
          <w:ilvl w:val="0"/>
          <w:numId w:val="1"/>
        </w:numPr>
        <w:spacing w:after="120"/>
      </w:pPr>
      <w:r>
        <w:t xml:space="preserve">CNA Operational Rules v4.1.0: </w:t>
      </w:r>
      <w:hyperlink w:history="1" r:id="rIdkwkoc5hplb7t4awkwum60">
        <w:r>
          <w:rPr>
            <w:rStyle w:val="Hyperlink"/>
          </w:rPr>
          <w:t xml:space="preserve">https://www.cve.org/Resources/Roles/Cnas/CNA_Rules_v4.1.0.pdf</w:t>
        </w:r>
      </w:hyperlink>
    </w:p>
    <w:p>
      <w:pPr>
        <w:pStyle w:val="ListParagraph"/>
        <w:numPr>
          <w:ilvl w:val="0"/>
          <w:numId w:val="1"/>
        </w:numPr>
        <w:spacing w:after="120"/>
      </w:pPr>
      <w:r>
        <w:t xml:space="preserve">CPE applicability statements quick-start guide: </w:t>
      </w:r>
      <w:hyperlink w:history="1" r:id="rIdpp_wq-8ealzqrigvg73ec">
        <w:r>
          <w:rPr>
            <w:rStyle w:val="Hyperlink"/>
          </w:rPr>
          <w:t xml:space="preserve">https://www.cve.org/Resources/Roles/Cnas/CPEinCVERecordsGuide.pdf</w:t>
        </w:r>
      </w:hyperlink>
    </w:p>
    <w:p>
      <w:pPr>
        <w:pStyle w:val="ListParagraph"/>
        <w:numPr>
          <w:ilvl w:val="0"/>
          <w:numId w:val="1"/>
        </w:numPr>
        <w:spacing w:after="120"/>
      </w:pPr>
      <w:r>
        <w:t xml:space="preserve">All data, code and method behind the figures above: </w:t>
      </w:r>
      <w:hyperlink w:history="1" r:id="rIdakkzr4d_lz3z205hyschv">
        <w:r>
          <w:rPr>
            <w:rStyle w:val="Hyperlink"/>
          </w:rPr>
          <w:t xml:space="preserve">https://github.com/scolly2683/vuln-evidence-registry/tree/7f1da343b8b69477c652ba3491ebb93338770a51</w:t>
        </w:r>
      </w:hyperlink>
      <w:r>
        <w:t xml:space="preserve"> (pinned to commit </w:t>
      </w:r>
      <w:r>
        <w:rPr>
          <w:rFonts w:ascii="Consolas" w:cs="Consolas" w:eastAsia="Consolas" w:hAnsi="Consolas"/>
        </w:rPr>
        <w:t xml:space="preserve">7f1da34</w:t>
      </w:r>
      <w:r>
        <w:t xml:space="preserve">, 4 September 2026, so the figures quoted here cannot shift under a later reader; </w:t>
      </w:r>
      <w:r>
        <w:rPr>
          <w:rFonts w:ascii="Consolas" w:cs="Consolas" w:eastAsia="Consolas" w:hAnsi="Consolas"/>
        </w:rPr>
        <w:t xml:space="preserve">main</w:t>
      </w:r>
      <w:r>
        <w:t xml:space="preserve"> carries any subsequent work)</w:t>
      </w:r>
    </w:p>
    <w:p>
      <w:pPr>
        <w:pStyle w:val="Heading2"/>
        <w:spacing w:after="160" w:before="320"/>
      </w:pPr>
      <w:r>
        <w:t xml:space="preserve">Checklist before filing</w:t>
      </w:r>
    </w:p>
    <w:p>
      <w:pPr>
        <w:pStyle w:val="ListParagraph"/>
        <w:numPr>
          <w:ilvl w:val="0"/>
          <w:numId w:val="1"/>
        </w:numPr>
        <w:spacing w:after="120"/>
      </w:pPr>
      <w:r>
        <w:rPr>
          <w:b/>
          <w:bCs/>
        </w:rPr>
        <w:t xml:space="preserve">Link pinned.</w:t>
      </w:r>
      <w:r>
        <w:t xml:space="preserve"> Done — the sources section cites commit </w:t>
      </w:r>
      <w:r>
        <w:rPr>
          <w:rFonts w:ascii="Consolas" w:cs="Consolas" w:eastAsia="Consolas" w:hAnsi="Consolas"/>
        </w:rPr>
        <w:t xml:space="preserve">7f1da34</w:t>
      </w:r>
      <w:r>
        <w:t xml:space="preserve">, merged to </w:t>
      </w:r>
      <w:r>
        <w:rPr>
          <w:rFonts w:ascii="Consolas" w:cs="Consolas" w:eastAsia="Consolas" w:hAnsi="Consolas"/>
        </w:rPr>
        <w:t xml:space="preserve">main</w:t>
      </w:r>
      <w:r>
        <w:t xml:space="preserve"> on 4 September 2026 and verified reachable. The comment is permanent, so the link is too.</w:t>
      </w:r>
    </w:p>
    <w:p>
      <w:pPr>
        <w:pStyle w:val="ListParagraph"/>
        <w:numPr>
          <w:ilvl w:val="0"/>
          <w:numId w:val="1"/>
        </w:numPr>
        <w:spacing w:after="120"/>
      </w:pPr>
      <w:r>
        <w:rPr>
          <w:b/>
          <w:bCs/>
        </w:rPr>
        <w:t xml:space="preserve">Fill in `[NAME]`.</w:t>
      </w:r>
      <w:r>
        <w:t xml:space="preserve"> "Independent vulnerability-management practitioner" is accurate and enough. Leave out any employer: the comment stands on the data, and having no commercial interest is worth stating plainly.</w:t>
      </w:r>
    </w:p>
    <w:p>
      <w:pPr>
        <w:pStyle w:val="ListParagraph"/>
        <w:numPr>
          <w:ilvl w:val="0"/>
          <w:numId w:val="1"/>
        </w:numPr>
        <w:spacing w:after="120"/>
      </w:pPr>
      <w:r>
        <w:rPr>
          <w:b/>
          <w:bCs/>
        </w:rPr>
        <w:t xml:space="preserve">Re-check the numbers in section 3</w:t>
      </w:r>
      <w:r>
        <w:t xml:space="preserve"> against the repository before filing. They are correct as of 4 September 2026. If the work moves on, update them or cut the claim.</w:t>
      </w:r>
    </w:p>
    <w:p>
      <w:pPr>
        <w:pStyle w:val="ListParagraph"/>
        <w:numPr>
          <w:ilvl w:val="0"/>
          <w:numId w:val="1"/>
        </w:numPr>
        <w:spacing w:after="120"/>
      </w:pPr>
      <w:r>
        <w:rPr>
          <w:b/>
          <w:bCs/>
        </w:rPr>
        <w:t xml:space="preserve">No personal details.</w:t>
      </w:r>
      <w:r>
        <w:t xml:space="preserve"> Comments are posted in full, without redaction.</w:t>
      </w:r>
    </w:p>
    <w:p>
      <w:pPr>
        <w:pStyle w:val="ListParagraph"/>
        <w:numPr>
          <w:ilvl w:val="0"/>
          <w:numId w:val="1"/>
        </w:numPr>
        <w:spacing w:after="120"/>
      </w:pPr>
      <w:r>
        <w:t xml:space="preserve">Optional: let Konvu know you filed. They publicly asked people to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6"/>
      <w:szCs w:val="26"/>
    </w:rPr>
  </w:style>
  <w:style w:type="paragraph" w:styleId="Heading3">
    <w:name w:val="Heading 3"/>
    <w:basedOn w:val="Normal"/>
    <w:next w:val="Normal"/>
    <w:qFormat/>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6abpnq4sxysovs5gzuz6" Type="http://schemas.openxmlformats.org/officeDocument/2006/relationships/hyperlink" Target="https://github.com/scolly2683/vuln-evidence-registry" TargetMode="External"/><Relationship Id="rIdbrcvr8v1gxx4fyksjcu_k" Type="http://schemas.openxmlformats.org/officeDocument/2006/relationships/hyperlink" Target="https://cveproject.github.io/cve-schema/schema/CVE_Record_Format.json" TargetMode="External"/><Relationship Id="rIdle_l338fueqcfxj6yswuq" Type="http://schemas.openxmlformats.org/officeDocument/2006/relationships/hyperlink" Target="https://konvu.com/blog/how-to-fix-the-nvd" TargetMode="External"/><Relationship Id="rIdtllcbjbvcniqv4zhcdroq" Type="http://schemas.openxmlformats.org/officeDocument/2006/relationships/hyperlink" Target="https://github.com/RogoLabs/CNAScoreCard" TargetMode="External"/><Relationship Id="rIdkwkoc5hplb7t4awkwum60" Type="http://schemas.openxmlformats.org/officeDocument/2006/relationships/hyperlink" Target="https://www.cve.org/Resources/Roles/Cnas/CNA_Rules_v4.1.0.pdf" TargetMode="External"/><Relationship Id="rIdpp_wq-8ealzqrigvg73ec" Type="http://schemas.openxmlformats.org/officeDocument/2006/relationships/hyperlink" Target="https://www.cve.org/Resources/Roles/Cnas/CPEinCVERecordsGuide.pdf" TargetMode="External"/><Relationship Id="rIdakkzr4d_lz3z205hyschv" Type="http://schemas.openxmlformats.org/officeDocument/2006/relationships/hyperlink" Target="https://github.com/scolly2683/vuln-evidence-registry/tree/7f1da343b8b69477c652ba3491ebb93338770a51"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2026-09-04T19:42:52.441Z</dcterms:created>
  <dcterms:modified xsi:type="dcterms:W3CDTF">2026-09-04T19:42:52.442Z</dcterms:modified>
</cp:coreProperties>
</file>

<file path=docProps/custom.xml><?xml version="1.0" encoding="utf-8"?>
<Properties xmlns="http://schemas.openxmlformats.org/officeDocument/2006/custom-properties" xmlns:vt="http://schemas.openxmlformats.org/officeDocument/2006/docPropsVTypes"/>
</file>