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320"/>
      </w:pPr>
      <w:r>
        <w:t xml:space="preserve">The cited-precondition extraction standard, as run</w:t>
      </w:r>
    </w:p>
    <w:p>
      <w:pPr>
        <w:spacing w:after="160"/>
      </w:pPr>
      <w:r>
        <w:rPr>
          <w:b/>
          <w:bCs/>
        </w:rPr>
        <w:t xml:space="preserve">Status:</w:t>
      </w:r>
      <w:r>
        <w:t xml:space="preserve"> the rules below are frozen. They are reproduced character for character from the prompt file the evaluation ran with (</w:t>
      </w:r>
      <w:r>
        <w:rPr>
          <w:rFonts w:ascii="Consolas" w:cs="Consolas" w:eastAsia="Consolas" w:hAnsi="Consolas"/>
        </w:rPr>
        <w:t xml:space="preserve">PROMPT.md</w:t>
      </w:r>
      <w:r>
        <w:t xml:space="preserve">), and a test fails if this document and that file ever differ. The measured agreement figures at the end were obtained under exactly this text.</w:t>
      </w:r>
    </w:p>
    <w:p>
      <w:pPr>
        <w:pStyle w:val="Heading2"/>
        <w:spacing w:after="160" w:before="320"/>
      </w:pPr>
      <w:r>
        <w:t xml:space="preserve">What it produces</w:t>
      </w:r>
    </w:p>
    <w:p>
      <w:pPr>
        <w:spacing w:after="160"/>
      </w:pPr>
      <w:r>
        <w:t xml:space="preserve">For one advisory, one record: the vendor and product, the affected version range, and a list of </w:t>
      </w:r>
      <w:r>
        <w:rPr>
          <w:b/>
          <w:bCs/>
        </w:rPr>
        <w:t xml:space="preserve">preconditions</w:t>
      </w:r>
      <w:r>
        <w:t xml:space="preserve"> — the conditions a deployment must meet for the vulnerability to apply — each tagged with a category and each </w:t>
      </w:r>
      <w:r>
        <w:rPr>
          <w:b/>
          <w:bCs/>
        </w:rPr>
        <w:t xml:space="preserve">citing the advisory sentence it rests on, verbatim</w:t>
      </w:r>
      <w:r>
        <w:t xml:space="preserve">. A mechanical check confirms every citation is a substring of the advisory text (whitespace and non-breaking spaces normalised); a record that fails that check is rejected, not corrected.</w:t>
      </w:r>
    </w:p>
    <w:p>
      <w:pPr>
        <w:spacing w:after="160"/>
      </w:pPr>
      <w:r>
        <w:t xml:space="preserve">An empty list is itself a claim and must say which of two things it means: "genuinely nothing gates this; an affected version is enough", or "this text states no precondition".</w:t>
      </w:r>
    </w:p>
    <w:p>
      <w:pPr>
        <w:pStyle w:val="Heading2"/>
        <w:spacing w:after="160" w:before="320"/>
      </w:pPr>
      <w:r>
        <w:t xml:space="preserve">The rules (verbatim)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Rules: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1. Everything in the record must be derivable from the advisory text in front of you.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Outside knowledge goes only in notes, labeled as outside the text.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2. Every precondition cites the exact sentence it rests on, quoted character-for-character.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No citation, no precondition.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3. One sentence can carry several preconditions; several sentences can carry none.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4. Sentences that are NOT preconditions are kept, not dropped: fix/workaround history goes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to remediation_notes with a CSAF category (vendor_fix, workaround, mitigation,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none_available, no_fix_planned); flaw/attacker-mechanism description goes to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general_notes. Both hold verbatim sentences.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5. An empty preconditions list is a claim with two distinct readings — say which applies: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"genuinely nothing gates this; an affected version is enough" or "this text states no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precondition" (and flag it if you know a real gate exists outside the text).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6. Say plainly when something can't be determined: enabled_by_default is null unless the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text states the default; version fields are null when the text gives no range, with the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messy reality explained in notes. Never guess to fill a field.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7. required_for_exploit is false when a condition gates only the known exploit and the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advisory hedges that other paths may exist; true when it gates the vulnerability itself.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8. A sentence that names what the attacker must already hold (an account, a privilege level,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local access, a prior compromise, a specific artefact) or must be able to reach (a named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service, interface, port or component) IS a precondition, even when it restates a CVSS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metric in prose, provided it names the specific thing. File "must hold" gates under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deployment and "must reach" gates under network-reachability. A bare metric restatement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that names nothing ("an unauthorized attacker over a network") remains a general note.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9. A sentence naming a specific artefact the victim must open, execute, load or process (a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file type, a link, a document, a web site) IS a precondition — file it under deployment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until the standard gains a user-interaction category. "User interaction is required"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naming nothing remains a general note.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10. A sentence that locates the flaw in a named optional component, service, feature, module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or protocol IS a precondition that the component is present or enabled — deployment for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presence ("the Remote Access SSL VPN service is running"), configuration for an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enable/disable state ("mod_rewrite is loaded", "the remoting CLI protocol is enabled").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Precondition categories: configuration (a setting/toggle), deployment (how/where it runs),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api-usage (what the calling code invokes), network-reachability (what the attacker can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reach or the host reaches out to), platform (OS/runtime requirement).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Output two parts, in order: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1. THE READING — each precondition on one line (short-slug-id, category, required?,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default?) with its verbatim cited sentence quoted beneath, then each remediation/general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note with its sentence.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2. THE RECORD — one YAML block: cve_id (null if unassigned), ghsa_id, source, source_url,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retrieved (today), advisory_text (verbatim), then expected: identity {vendor, product,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cpe, purl}, affected_versions {introduced, fixed, excluded_fixed, notes},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preconditions [{id, statement, category, enabled_by_default, required_for_exploit}],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remediation_notes, general_notes, notes.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Calibration example (Log4Shell, CVE-2021-44228): the sentence "An attacker who can control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log messages or log message parameters can execute arbitrary code loaded from LDAP servers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when message lookup substitution is enabled." yields THREE preconditions — the config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toggle, attacker-influenced log input, and outbound JNDI/LDAP reachability — while "From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log4j 2.15.0, this behavior has been disabled by default." is fix history (vendor_fix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remediation note) that also establishes the toggle's earlier default, and the advisory's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opening flaw-description sentence is a general_note, not a precondition.</w:t>
      </w:r>
    </w:p>
    <w:p>
      <w:pPr>
        <w:spacing w:after="160"/>
      </w:pPr>
    </w:p>
    <w:p>
      <w:pPr>
        <w:pStyle w:val="Heading2"/>
        <w:spacing w:after="160" w:before="320"/>
      </w:pPr>
      <w:r>
        <w:t xml:space="preserve">Run it end to end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Get the advisory text, never from memory.</w:t>
      </w:r>
      <w:r>
        <w:t xml:space="preserve"> The CVE Program's record (</w:t>
      </w:r>
      <w:r>
        <w:rPr>
          <w:rFonts w:ascii="Consolas" w:cs="Consolas" w:eastAsia="Consolas" w:hAnsi="Consolas"/>
        </w:rPr>
        <w:t xml:space="preserve">https://cveproject.github.io/cve-schema/</w:t>
      </w:r>
      <w:r>
        <w:t xml:space="preserve"> shape; </w:t>
      </w:r>
      <w:r>
        <w:rPr>
          <w:rFonts w:ascii="Consolas" w:cs="Consolas" w:eastAsia="Consolas" w:hAnsi="Consolas"/>
        </w:rPr>
        <w:t xml:space="preserve">containers.cna.descriptions[].value</w:t>
      </w:r>
      <w:r>
        <w:t xml:space="preserve">), or for Microsoft CVEs the Security Update Guide, because the CVE record is title-only there. Store the text with the retrieval date and a content hash; a citation is only re-checkable against the text as captured. 2. </w:t>
      </w:r>
      <w:r>
        <w:rPr>
          <w:b/>
          <w:bCs/>
        </w:rPr>
        <w:t xml:space="preserve">Extract.</w:t>
      </w:r>
      <w:r>
        <w:t xml:space="preserve"> Put the rules above in front of a model with the text beneath and take the YAML block it returns. The evaluation used </w:t>
      </w:r>
      <w:r>
        <w:rPr>
          <w:rFonts w:ascii="Consolas" w:cs="Consolas" w:eastAsia="Consolas" w:hAnsi="Consolas"/>
        </w:rPr>
        <w:t xml:space="preserve">claude -p --model sonnet</w:t>
      </w:r>
      <w:r>
        <w:t xml:space="preserve"> on a subscription (no API key, no per-record cost); any model that follows instructions will do, but pin which one answered — </w:t>
      </w:r>
      <w:r>
        <w:rPr>
          <w:rFonts w:ascii="Consolas" w:cs="Consolas" w:eastAsia="Consolas" w:hAnsi="Consolas"/>
        </w:rPr>
        <w:t xml:space="preserve">--output-format json</w:t>
      </w:r>
      <w:r>
        <w:t xml:space="preserve"> returns </w:t>
      </w:r>
      <w:r>
        <w:rPr>
          <w:rFonts w:ascii="Consolas" w:cs="Consolas" w:eastAsia="Consolas" w:hAnsi="Consolas"/>
        </w:rPr>
        <w:t xml:space="preserve">modelUsage</w:t>
      </w:r>
      <w:r>
        <w:t xml:space="preserve">, and the pipeline records it per record. Do not let the model fetch the advisory itself. 3. </w:t>
      </w:r>
      <w:r>
        <w:rPr>
          <w:b/>
          <w:bCs/>
        </w:rPr>
        <w:t xml:space="preserve">Check the citations mechanically.</w:t>
      </w:r>
      <w:r>
        <w:t xml:space="preserve"> For every precondition, </w:t>
      </w:r>
      <w:r>
        <w:rPr>
          <w:rFonts w:ascii="Consolas" w:cs="Consolas" w:eastAsia="Consolas" w:hAnsi="Consolas"/>
        </w:rPr>
        <w:t xml:space="preserve">cites</w:t>
      </w:r>
      <w:r>
        <w:t xml:space="preserve"> must be a verbatim substring of </w:t>
      </w:r>
      <w:r>
        <w:rPr>
          <w:rFonts w:ascii="Consolas" w:cs="Consolas" w:eastAsia="Consolas" w:hAnsi="Consolas"/>
        </w:rPr>
        <w:t xml:space="preserve">advisory_text</w:t>
      </w:r>
      <w:r>
        <w:t xml:space="preserve"> after whitespace/NBSP normalisation. Reject the record on any failure. Validate the YAML against the record schema (</w:t>
      </w:r>
      <w:r>
        <w:rPr>
          <w:rFonts w:ascii="Consolas" w:cs="Consolas" w:eastAsia="Consolas" w:hAnsi="Consolas"/>
        </w:rPr>
        <w:t xml:space="preserve">tests/fixtures/schema.json</w:t>
      </w:r>
      <w:r>
        <w:t xml:space="preserve">). 4. </w:t>
      </w:r>
      <w:r>
        <w:rPr>
          <w:b/>
          <w:bCs/>
        </w:rPr>
        <w:t xml:space="preserve">Review the reading, not the YAML.</w:t>
      </w:r>
      <w:r>
        <w:t xml:space="preserve"> The output's first part lists each precondition on a line with its quoted sentence under it. That is what a person checks: is the sentence really a condition (Rules 8–10), and is it filed under the right category? 5. </w:t>
      </w:r>
      <w:r>
        <w:rPr>
          <w:b/>
          <w:bCs/>
        </w:rPr>
        <w:t xml:space="preserve">Compile the gate into a check.</w:t>
      </w:r>
      <w:r>
        <w:t xml:space="preserve"> Each decidable precondition becomes one deterministic predicate over something the host can show you — a config line, a loaded module, a running service — that quotes what it matched. Preconditions that no tool can decide are reported as </w:t>
      </w:r>
      <w:r>
        <w:rPr>
          <w:i/>
          <w:iCs/>
        </w:rPr>
        <w:t xml:space="preserve">not assessed</w:t>
      </w:r>
      <w:r>
        <w:t xml:space="preserve">, never silently dropped. Worked example: </w:t>
      </w:r>
      <w:r>
        <w:rPr>
          <w:rFonts w:ascii="Consolas" w:cs="Consolas" w:eastAsia="Consolas" w:hAnsi="Consolas"/>
        </w:rPr>
        <w:t xml:space="preserve">checks/CVE-2024-38475/</w:t>
      </w:r>
      <w:r>
        <w:t xml:space="preserve">. 6. </w:t>
      </w:r>
      <w:r>
        <w:rPr>
          <w:b/>
          <w:bCs/>
        </w:rPr>
        <w:t xml:space="preserve">Run the check with the fleet tooling you have</w:t>
      </w:r>
      <w:r>
        <w:t xml:space="preserve"> (authenticated scanner audit, agentless host-configuration rule, Ansible, SSH) and keep the per-host three-way answer — present / absent / not assessed — with its evidence line.</w:t>
      </w:r>
    </w:p>
    <w:p>
      <w:pPr>
        <w:pStyle w:val="Heading2"/>
        <w:spacing w:after="160" w:before="320"/>
      </w:pPr>
      <w:r>
        <w:t xml:space="preserve">What is and is not proven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On a 30-record held-out set the extraction, run by one model and re-read blind by a second, agreed on </w:t>
      </w:r>
      <w:r>
        <w:rPr>
          <w:b/>
          <w:bCs/>
        </w:rPr>
        <w:t xml:space="preserve">89%</w:t>
      </w:r>
      <w:r>
        <w:t xml:space="preserve"> of gates (95% interval 74–95%), kappa 0.93 on the record-level decision, with every citation valid and every empty list agreed. Both readers were models of the same family; treat 89% as an upper bound. </w:t>
      </w:r>
      <w:r>
        <w:rPr>
          <w:b/>
          <w:bCs/>
        </w:rPr>
        <w:t xml:space="preserve">A human-reader comparison has not been done.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The measured usefulness of the source field (CVE </w:t>
      </w:r>
      <w:r>
        <w:rPr>
          <w:rFonts w:ascii="Consolas" w:cs="Consolas" w:eastAsia="Consolas" w:hAnsi="Consolas"/>
        </w:rPr>
        <w:t xml:space="preserve">configurations</w:t>
      </w:r>
      <w:r>
        <w:t xml:space="preserve">) is on a curated, exploited population only (CISA KEV) and rests on 13 filled records from two vendors.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The check layer is proven on one CVE with eight fixtures and a deliberately-broken-then- restored test run. It is an example of the shape, not a library.</w:t>
      </w:r>
    </w:p>
    <w:p>
      <w:pPr>
        <w:pStyle w:val="Heading2"/>
        <w:spacing w:after="160" w:before="320"/>
      </w:pPr>
      <w:r>
        <w:t xml:space="preserve">Files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pPr>
              <w:spacing w:after="60" w:before="60"/>
            </w:pPr>
            <w:r>
              <w:t xml:space="preserve">what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where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60" w:before="60"/>
            </w:pPr>
            <w:r>
              <w:t xml:space="preserve">the frozen prompt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evaluation/PROMPT.md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60" w:before="60"/>
            </w:pPr>
            <w:r>
              <w:t xml:space="preserve">record schema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tests/fixtures/schema.json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60" w:before="60"/>
            </w:pPr>
            <w:r>
              <w:t xml:space="preserve">citation checker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schema.py::citation_in_text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60" w:before="60"/>
            </w:pPr>
            <w:r>
              <w:t xml:space="preserve">batch extractor with model pinning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pipeline/extract.py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60" w:before="60"/>
            </w:pPr>
            <w:r>
              <w:t xml:space="preserve">50 hand-verified reference records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evaluation/reference/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60" w:before="60"/>
            </w:pPr>
            <w:r>
              <w:t xml:space="preserve">30-record held-out set and scoring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evaluation/heldout/</w:t>
            </w:r>
          </w:p>
        </w:tc>
      </w:tr>
      <w:tr>
        <w:trPr>
          <w:tblHeader w:val="false"/>
        </w:trPr>
        <w:tc>
          <w:tcPr>
            <w:tcW w:type="dxa" w:w="4680"/>
          </w:tcPr>
          <w:p>
            <w:pPr>
              <w:spacing w:after="60" w:before="60"/>
            </w:pPr>
            <w:r>
              <w:t xml:space="preserve">worked host check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</w:rPr>
              <w:t xml:space="preserve">checks/CVE-2024-38475/</w:t>
            </w:r>
          </w:p>
        </w:tc>
      </w:tr>
    </w:tbl>
    <w:p>
      <w:pPr>
        <w:spacing w:after="16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2026-09-05T08:16:30.889Z</dcterms:created>
  <dcterms:modified xsi:type="dcterms:W3CDTF">2026-09-05T08:16:30.889Z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