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460"/>
          <w:sz w:val="40"/>
        </w:rPr>
        <w:t>MANUAL DO USUÁRIO</w:t>
      </w:r>
    </w:p>
    <w:p>
      <w:pPr>
        <w:jc w:val="center"/>
      </w:pPr>
      <w:r>
        <w:rPr>
          <w:b/>
          <w:color w:val="0F3460"/>
          <w:sz w:val="28"/>
        </w:rPr>
        <w:t>PCP Homologação — Sistema Web</w:t>
      </w:r>
    </w:p>
    <w:p/>
    <w:p>
      <w:pPr>
        <w:jc w:val="center"/>
      </w:pPr>
      <w:r>
        <w:rPr>
          <w:sz w:val="24"/>
        </w:rPr>
        <w:t>Indústria Metalúrgica FANANDRI Ltda.</w:t>
        <w:br/>
      </w:r>
      <w:r>
        <w:rPr>
          <w:i/>
          <w:sz w:val="22"/>
        </w:rPr>
        <w:t>Atualizado em 10/07/2026</w:t>
      </w:r>
    </w:p>
    <w:p>
      <w:r>
        <w:br w:type="page"/>
      </w:r>
    </w:p>
    <w:p>
      <w:pPr>
        <w:pStyle w:val="Heading1"/>
      </w:pPr>
      <w:r>
        <w:t>1. O que é este sistema?</w:t>
      </w:r>
    </w:p>
    <w:p>
      <w:r>
        <w:rPr>
          <w:b w:val="0"/>
          <w:sz w:val="22"/>
        </w:rPr>
        <w:t>O PCP Homologação é a versão web do módulo de Planejamento e Controle da Produção (PCP) da FANANDRI. Ele substitui, em ambiente de testes, as telas do sistema legado em COBOL, usando os mesmos dados migrados dos arquivos .DAT.</w:t>
      </w:r>
    </w:p>
    <w:p>
      <w:r>
        <w:rPr>
          <w:b/>
          <w:sz w:val="22"/>
        </w:rPr>
        <w:t>Com ele você pode:</w:t>
      </w:r>
    </w:p>
    <w:p>
      <w:pPr>
        <w:pStyle w:val="ListBullet"/>
      </w:pPr>
      <w:r>
        <w:t>Consultar e editar cadastros (produtos e matéria-prima)</w:t>
      </w:r>
    </w:p>
    <w:p>
      <w:pPr>
        <w:pStyle w:val="ListBullet"/>
      </w:pPr>
      <w:r>
        <w:t>Criar, consultar e emitir ordens de produção (OP)</w:t>
      </w:r>
    </w:p>
    <w:p>
      <w:pPr>
        <w:pStyle w:val="ListBullet"/>
      </w:pPr>
      <w:r>
        <w:t>Registrar baixas de produção e de matéria-prima</w:t>
      </w:r>
    </w:p>
    <w:p>
      <w:pPr>
        <w:pStyle w:val="ListBullet"/>
      </w:pPr>
      <w:r>
        <w:t>Gerenciar programação de entregas</w:t>
      </w:r>
    </w:p>
    <w:p>
      <w:pPr>
        <w:pStyle w:val="ListBullet"/>
      </w:pPr>
      <w:r>
        <w:t>Gerar relatórios equivalentes aos do COBOL</w:t>
      </w:r>
    </w:p>
    <w:p>
      <w:r>
        <w:rPr>
          <w:b/>
          <w:color w:val="B45000"/>
        </w:rPr>
        <w:t xml:space="preserve">Importante: </w:t>
      </w:r>
      <w:r>
        <w:rPr>
          <w:sz w:val="20"/>
        </w:rPr>
        <w:t>Este é um ambiente de homologação (teste). O COBOL continua sendo a fonte de verdade em produção até o aceite formal do cliente.</w:t>
      </w:r>
    </w:p>
    <w:p>
      <w:pPr>
        <w:pStyle w:val="Heading1"/>
      </w:pPr>
      <w:r>
        <w:t>2. Como ligar o sistema (antes de usar)</w:t>
      </w:r>
    </w:p>
    <w:p>
      <w:r>
        <w:rPr>
          <w:b w:val="0"/>
          <w:sz w:val="22"/>
        </w:rPr>
        <w:t>O sistema precisa de três partes rodando: banco de dados, API (servidor) e tela web (navegador). Siga a ordem abaixo.</w:t>
      </w:r>
    </w:p>
    <w:p>
      <w:pPr>
        <w:pStyle w:val="Heading2"/>
      </w:pPr>
      <w:r>
        <w:t>Passo 1 — Banco de dados (Docker)</w:t>
      </w:r>
    </w:p>
    <w:p>
      <w:pPr>
        <w:pStyle w:val="ListNumber"/>
      </w:pPr>
      <w:r>
        <w:t>Abra o Docker Desktop e aguarde iniciar.</w:t>
      </w:r>
    </w:p>
    <w:p>
      <w:pPr>
        <w:pStyle w:val="ListNumber"/>
      </w:pPr>
      <w:r>
        <w:t>Abra o Terminal do Mac.</w:t>
      </w:r>
    </w:p>
    <w:p>
      <w:pPr>
        <w:pStyle w:val="ListNumber"/>
      </w:pPr>
      <w:r>
        <w:t>Execute os comandos:</w:t>
      </w:r>
    </w:p>
    <w:p>
      <w:r>
        <w:rPr>
          <w:b/>
          <w:sz w:val="22"/>
        </w:rPr>
        <w:t>cd /Users/scominato/pcp-homol/pcp-homol-api</w:t>
        <w:br/>
        <w:t>docker compose up -d</w:t>
      </w:r>
    </w:p>
    <w:p>
      <w:pPr>
        <w:pStyle w:val="Heading2"/>
      </w:pPr>
      <w:r>
        <w:t>Passo 2 — API (servidor backend)</w:t>
      </w:r>
    </w:p>
    <w:p>
      <w:pPr>
        <w:pStyle w:val="ListNumber"/>
      </w:pPr>
      <w:r>
        <w:t>Abra um novo Terminal (deixe o anterior aberto).</w:t>
      </w:r>
    </w:p>
    <w:p>
      <w:pPr>
        <w:pStyle w:val="ListNumber"/>
      </w:pPr>
      <w:r>
        <w:t>Execute:</w:t>
      </w:r>
    </w:p>
    <w:p>
      <w:r>
        <w:rPr>
          <w:b/>
          <w:sz w:val="22"/>
        </w:rPr>
        <w:t>cd /Users/scominato/pcp-homol/pcp-homol-api</w:t>
        <w:br/>
        <w:t>export $(grep -v '^#' .env | xargs)</w:t>
        <w:br/>
        <w:t>npm run start:dev</w:t>
      </w:r>
    </w:p>
    <w:p>
      <w:r>
        <w:rPr>
          <w:b w:val="0"/>
          <w:sz w:val="22"/>
        </w:rPr>
        <w:t>Aguarde aparecer algo como: "Nest application successfully started".</w:t>
      </w:r>
    </w:p>
    <w:p>
      <w:pPr>
        <w:pStyle w:val="Heading2"/>
      </w:pPr>
      <w:r>
        <w:t>Passo 3 — Tela web (frontend)</w:t>
      </w:r>
    </w:p>
    <w:p>
      <w:pPr>
        <w:pStyle w:val="ListNumber"/>
      </w:pPr>
      <w:r>
        <w:t>Abra mais um Terminal.</w:t>
      </w:r>
    </w:p>
    <w:p>
      <w:pPr>
        <w:pStyle w:val="ListNumber"/>
      </w:pPr>
      <w:r>
        <w:t>Execute:</w:t>
      </w:r>
    </w:p>
    <w:p>
      <w:r>
        <w:rPr>
          <w:b/>
          <w:sz w:val="22"/>
        </w:rPr>
        <w:t>cd /Users/scominato/pcp-homol/pcp-homol-web</w:t>
        <w:br/>
        <w:t>npm run dev</w:t>
      </w:r>
    </w:p>
    <w:p>
      <w:pPr>
        <w:pStyle w:val="Heading2"/>
      </w:pPr>
      <w:r>
        <w:t>Passo 4 — Abrir no navegador</w:t>
      </w:r>
    </w:p>
    <w:p>
      <w:pPr>
        <w:pStyle w:val="ListNumber"/>
      </w:pPr>
      <w:r>
        <w:t>Abra Chrome, Safari ou Edge.</w:t>
      </w:r>
    </w:p>
    <w:p>
      <w:pPr>
        <w:pStyle w:val="ListNumber"/>
      </w:pPr>
      <w:r>
        <w:t>Acesse: http://localhost:5175</w:t>
      </w:r>
    </w:p>
    <w:p>
      <w:pPr>
        <w:pStyle w:val="ListNumber"/>
      </w:pPr>
      <w:r>
        <w:t>Na página inicial, confira se API e Banco aparecem como "ok".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URL do sistema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http://localhost:5175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API (técnico)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http://localhost:3001/api/health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Problema comum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Se a tela não carregar, verifique se os 3 passos acima estão rodando</w:t>
            </w:r>
          </w:p>
        </w:tc>
      </w:tr>
    </w:tbl>
    <w:p>
      <w:r>
        <w:br w:type="page"/>
      </w:r>
    </w:p>
    <w:p>
      <w:pPr>
        <w:pStyle w:val="Heading1"/>
      </w:pPr>
      <w:r>
        <w:t>3. Navegação — menu principal</w:t>
      </w:r>
    </w:p>
    <w:p>
      <w:r>
        <w:rPr>
          <w:b w:val="0"/>
          <w:sz w:val="22"/>
        </w:rPr>
        <w:t>No topo de todas as telas há o menu com as áreas do PCP: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Produtos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Cadastro e consulta de peças acabadas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Matéria-prima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Cadastro e consulta de MPs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Ordens de produção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Ciclo completo da OP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Programação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Planejamento e entregas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Relatórios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Consultas e impressos</w:t>
            </w:r>
          </w:p>
        </w:tc>
      </w:tr>
    </w:tbl>
    <w:p>
      <w:r>
        <w:rPr>
          <w:b w:val="0"/>
          <w:sz w:val="22"/>
        </w:rPr>
        <w:t>Clique no nome da área ou em "PCP Homologação" para voltar à página inicial.</w:t>
      </w:r>
    </w:p>
    <w:p>
      <w:pPr>
        <w:pStyle w:val="Heading1"/>
      </w:pPr>
      <w:r>
        <w:t>4. Produtos</w:t>
      </w:r>
    </w:p>
    <w:p>
      <w:pPr>
        <w:pStyle w:val="Heading2"/>
      </w:pPr>
      <w:r>
        <w:t>4.1 Consultar produtos</w:t>
      </w:r>
    </w:p>
    <w:p>
      <w:pPr>
        <w:pStyle w:val="ListNumber"/>
      </w:pPr>
      <w:r>
        <w:t>Clique em Produtos no menu.</w:t>
      </w:r>
    </w:p>
    <w:p>
      <w:pPr>
        <w:pStyle w:val="ListNumber"/>
      </w:pPr>
      <w:r>
        <w:t>Use a caixa de busca para pesquisar por código, descrição ou desenho.</w:t>
      </w:r>
    </w:p>
    <w:p>
      <w:pPr>
        <w:pStyle w:val="ListNumber"/>
      </w:pPr>
      <w:r>
        <w:t>Clique em Buscar.</w:t>
      </w:r>
    </w:p>
    <w:p>
      <w:pPr>
        <w:pStyle w:val="ListNumber"/>
      </w:pPr>
      <w:r>
        <w:t>Use Anterior / Próxima para navegar entre páginas.</w:t>
      </w:r>
    </w:p>
    <w:p>
      <w:pPr>
        <w:pStyle w:val="Heading2"/>
      </w:pPr>
      <w:r>
        <w:t>4.2 Ver ou editar um produto</w:t>
      </w:r>
    </w:p>
    <w:p>
      <w:pPr>
        <w:pStyle w:val="ListNumber"/>
      </w:pPr>
      <w:r>
        <w:t>Na lista, clique no produto desejado.</w:t>
      </w:r>
    </w:p>
    <w:p>
      <w:pPr>
        <w:pStyle w:val="ListNumber"/>
      </w:pPr>
      <w:r>
        <w:t>Confira código (formato 001-01-00001), descrição, unidade, estoques.</w:t>
      </w:r>
    </w:p>
    <w:p>
      <w:pPr>
        <w:pStyle w:val="ListNumber"/>
      </w:pPr>
      <w:r>
        <w:t>Altere os campos necessários e salve (se disponível na tela).</w:t>
      </w:r>
    </w:p>
    <w:p>
      <w:pPr>
        <w:pStyle w:val="Heading1"/>
      </w:pPr>
      <w:r>
        <w:t>5. Matéria-prima</w:t>
      </w:r>
    </w:p>
    <w:p>
      <w:pPr>
        <w:pStyle w:val="ListNumber"/>
      </w:pPr>
      <w:r>
        <w:t>Clique em Matéria-prima no menu.</w:t>
      </w:r>
    </w:p>
    <w:p>
      <w:pPr>
        <w:pStyle w:val="ListNumber"/>
      </w:pPr>
      <w:r>
        <w:t>Busque pela descrição ou código da MP.</w:t>
      </w:r>
    </w:p>
    <w:p>
      <w:pPr>
        <w:pStyle w:val="ListNumber"/>
      </w:pPr>
      <w:r>
        <w:t>Clique em um item para ver saldo, estoque mínimo/máximo e demais dados.</w:t>
      </w:r>
    </w:p>
    <w:p>
      <w:pPr>
        <w:pStyle w:val="ListNumber"/>
      </w:pPr>
      <w:r>
        <w:t>Após baixa de MP em uma OP, o saldo aqui deve refletir o débito.</w:t>
      </w:r>
    </w:p>
    <w:p>
      <w:r>
        <w:br w:type="page"/>
      </w:r>
    </w:p>
    <w:p>
      <w:pPr>
        <w:pStyle w:val="Heading1"/>
      </w:pPr>
      <w:r>
        <w:t>6. Ordens de produção (OP)</w:t>
      </w:r>
    </w:p>
    <w:p>
      <w:r>
        <w:rPr>
          <w:b w:val="0"/>
          <w:sz w:val="22"/>
        </w:rPr>
        <w:t>A OP é o documento central da produção. No legado, os programas equivalentes são PC1028 (cadastro) e PC1041 (emissão).</w:t>
      </w:r>
    </w:p>
    <w:p>
      <w:pPr>
        <w:pStyle w:val="Heading2"/>
      </w:pPr>
      <w:r>
        <w:t>6.1 Consultar OPs</w:t>
      </w:r>
    </w:p>
    <w:p>
      <w:pPr>
        <w:pStyle w:val="ListNumber"/>
      </w:pPr>
      <w:r>
        <w:t>Menu → Ordens de produção.</w:t>
      </w:r>
    </w:p>
    <w:p>
      <w:pPr>
        <w:pStyle w:val="ListNumber"/>
      </w:pPr>
      <w:r>
        <w:t>Opcional: marque "Somente abertas" para ver só OPs não baixadas.</w:t>
      </w:r>
    </w:p>
    <w:p>
      <w:pPr>
        <w:pStyle w:val="ListNumber"/>
      </w:pPr>
      <w:r>
        <w:t>Digite código da OP, produto ou cliente e clique em Buscar.</w:t>
      </w:r>
    </w:p>
    <w:p>
      <w:pPr>
        <w:pStyle w:val="ListNumber"/>
      </w:pPr>
      <w:r>
        <w:t>Clique no número da OP para abrir o detalhe.</w:t>
      </w:r>
    </w:p>
    <w:p>
      <w:pPr>
        <w:pStyle w:val="Heading2"/>
      </w:pPr>
      <w:r>
        <w:t>6.2 Criar nova OP</w:t>
      </w:r>
    </w:p>
    <w:p>
      <w:pPr>
        <w:pStyle w:val="ListNumber"/>
      </w:pPr>
      <w:r>
        <w:t>Em Ordens de produção, clique em Nova OP.</w:t>
      </w:r>
    </w:p>
    <w:p>
      <w:pPr>
        <w:pStyle w:val="ListNumber"/>
      </w:pPr>
      <w:r>
        <w:t>O sistema sugere o próximo código de OP automaticamente.</w:t>
      </w:r>
    </w:p>
    <w:p>
      <w:pPr>
        <w:pStyle w:val="ListNumber"/>
      </w:pPr>
      <w:r>
        <w:t>Informe o desenho do cliente (ex.: 90531014) no campo Produto.</w:t>
      </w:r>
    </w:p>
    <w:p>
      <w:pPr>
        <w:pStyle w:val="ListNumber"/>
      </w:pPr>
      <w:r>
        <w:t>Clique em Buscar processo — o sistema carrega o roteiro de produção.</w:t>
      </w:r>
    </w:p>
    <w:p>
      <w:pPr>
        <w:pStyle w:val="ListNumber"/>
      </w:pPr>
      <w:r>
        <w:t>Preencha quantidade, tipo (PRD, PRO, PIL, TRY) e nome do cliente.</w:t>
      </w:r>
    </w:p>
    <w:p>
      <w:pPr>
        <w:pStyle w:val="ListNumber"/>
      </w:pPr>
      <w:r>
        <w:t>Se necessário, ajuste o equipamento de cada operação.</w:t>
      </w:r>
    </w:p>
    <w:p>
      <w:pPr>
        <w:pStyle w:val="ListNumber"/>
      </w:pPr>
      <w:r>
        <w:t>Clique em Salvar OP — você será levado ao detalhe da OP criada.</w:t>
      </w:r>
    </w:p>
    <w:p>
      <w:r>
        <w:rPr>
          <w:b/>
          <w:color w:val="B45000"/>
        </w:rPr>
        <w:t xml:space="preserve">Importante: </w:t>
      </w:r>
      <w:r>
        <w:rPr>
          <w:sz w:val="20"/>
        </w:rPr>
        <w:t>Se aparecer erro ao buscar processo, o produto pode não ter roteiro cadastrado no banco migrado.</w:t>
      </w:r>
    </w:p>
    <w:p>
      <w:pPr>
        <w:pStyle w:val="Heading2"/>
      </w:pPr>
      <w:r>
        <w:t>6.3 Emitir (imprimir) a OP</w:t>
      </w:r>
    </w:p>
    <w:p>
      <w:pPr>
        <w:pStyle w:val="ListNumber"/>
      </w:pPr>
      <w:r>
        <w:t>Abra o detalhe da OP.</w:t>
      </w:r>
    </w:p>
    <w:p>
      <w:pPr>
        <w:pStyle w:val="ListNumber"/>
      </w:pPr>
      <w:r>
        <w:t>Clique em Emitir OP (ou link equivalente na tela).</w:t>
      </w:r>
    </w:p>
    <w:p>
      <w:pPr>
        <w:pStyle w:val="ListNumber"/>
      </w:pPr>
      <w:r>
        <w:t>Revise dados: produto, quantidade, operações, equipamentos.</w:t>
      </w:r>
    </w:p>
    <w:p>
      <w:pPr>
        <w:pStyle w:val="ListNumber"/>
      </w:pPr>
      <w:r>
        <w:t>Clique em Imprimir para gerar o documento (equivalente ao PC1041).</w:t>
      </w:r>
    </w:p>
    <w:p>
      <w:pPr>
        <w:pStyle w:val="ListNumber"/>
      </w:pPr>
      <w:r>
        <w:t>OPs já baixadas não podem ser emitidas — o sistema bloqueia.</w:t>
      </w:r>
    </w:p>
    <w:p>
      <w:pPr>
        <w:pStyle w:val="Heading2"/>
      </w:pPr>
      <w:r>
        <w:t>6.4 Baixar operações da OP</w:t>
      </w:r>
    </w:p>
    <w:p>
      <w:r>
        <w:rPr>
          <w:b w:val="0"/>
          <w:sz w:val="22"/>
        </w:rPr>
        <w:t>Equivalente ao programa PC1132 do legado.</w:t>
      </w:r>
    </w:p>
    <w:p>
      <w:pPr>
        <w:pStyle w:val="ListNumber"/>
      </w:pPr>
      <w:r>
        <w:t>No detalhe de uma OP aberta, vá à seção Baixas de operação.</w:t>
      </w:r>
    </w:p>
    <w:p>
      <w:pPr>
        <w:pStyle w:val="ListNumber"/>
      </w:pPr>
      <w:r>
        <w:t>Selecione o número da operação.</w:t>
      </w:r>
    </w:p>
    <w:p>
      <w:pPr>
        <w:pStyle w:val="ListNumber"/>
      </w:pPr>
      <w:r>
        <w:t>Informe a quantidade produzida (qtde saída).</w:t>
      </w:r>
    </w:p>
    <w:p>
      <w:pPr>
        <w:pStyle w:val="ListNumber"/>
      </w:pPr>
      <w:r>
        <w:t>Clique em Registrar baixa.</w:t>
      </w:r>
    </w:p>
    <w:p>
      <w:pPr>
        <w:pStyle w:val="ListNumber"/>
      </w:pPr>
      <w:r>
        <w:t>Repita para cada operação concluída.</w:t>
      </w:r>
    </w:p>
    <w:p>
      <w:pPr>
        <w:pStyle w:val="Heading2"/>
      </w:pPr>
      <w:r>
        <w:t>6.5 Encerrar a OP (baixa consolidada)</w:t>
      </w:r>
    </w:p>
    <w:p>
      <w:r>
        <w:rPr>
          <w:b w:val="0"/>
          <w:sz w:val="22"/>
        </w:rPr>
        <w:t>Equivalente à baixa final do PC1028 / registro PCPA71I.</w:t>
      </w:r>
    </w:p>
    <w:p>
      <w:pPr>
        <w:pStyle w:val="ListNumber"/>
      </w:pPr>
      <w:r>
        <w:t>Ainda no detalhe da OP, vá à seção Encerrar OP.</w:t>
      </w:r>
    </w:p>
    <w:p>
      <w:pPr>
        <w:pStyle w:val="ListNumber"/>
      </w:pPr>
      <w:r>
        <w:t>Informe peças produzidas, MP consumida e rolos (se aplicável).</w:t>
      </w:r>
    </w:p>
    <w:p>
      <w:pPr>
        <w:pStyle w:val="ListNumber"/>
      </w:pPr>
      <w:r>
        <w:t>Marque se MP e produto acabado já foram baixados.</w:t>
      </w:r>
    </w:p>
    <w:p>
      <w:pPr>
        <w:pStyle w:val="ListNumber"/>
      </w:pPr>
      <w:r>
        <w:t>Clique em Encerrar OP.</w:t>
      </w:r>
    </w:p>
    <w:p>
      <w:pPr>
        <w:pStyle w:val="ListNumber"/>
      </w:pPr>
      <w:r>
        <w:t>Após encerrada, a OP não aceita novas baixas de operação.</w:t>
      </w:r>
    </w:p>
    <w:p>
      <w:pPr>
        <w:pStyle w:val="Heading2"/>
      </w:pPr>
      <w:r>
        <w:t>6.6 Baixar matéria-prima na OP</w:t>
      </w:r>
    </w:p>
    <w:p>
      <w:r>
        <w:rPr>
          <w:b w:val="0"/>
          <w:sz w:val="22"/>
        </w:rPr>
        <w:t>Equivalente ao PC1076 / PC1109.</w:t>
      </w:r>
    </w:p>
    <w:p>
      <w:pPr>
        <w:pStyle w:val="ListNumber"/>
      </w:pPr>
      <w:r>
        <w:t>No detalhe da OP, vá à seção Baixa de matéria-prima.</w:t>
      </w:r>
    </w:p>
    <w:p>
      <w:pPr>
        <w:pStyle w:val="ListNumber"/>
      </w:pPr>
      <w:r>
        <w:t>Selecione a MP (lista vem do roteiro do produto).</w:t>
      </w:r>
    </w:p>
    <w:p>
      <w:pPr>
        <w:pStyle w:val="ListNumber"/>
      </w:pPr>
      <w:r>
        <w:t>Informe quantidade e rolos, se houver.</w:t>
      </w:r>
    </w:p>
    <w:p>
      <w:pPr>
        <w:pStyle w:val="ListNumber"/>
      </w:pPr>
      <w:r>
        <w:t>Clique em Registrar baixa de MP.</w:t>
      </w:r>
    </w:p>
    <w:p>
      <w:pPr>
        <w:pStyle w:val="ListNumber"/>
      </w:pPr>
      <w:r>
        <w:t>O estoque da MP no cadastro será debitado automaticamente.</w:t>
      </w:r>
    </w:p>
    <w:p>
      <w:r>
        <w:br w:type="page"/>
      </w:r>
    </w:p>
    <w:p>
      <w:pPr>
        <w:pStyle w:val="Heading1"/>
      </w:pPr>
      <w:r>
        <w:t>7. Programação de entregas</w:t>
      </w:r>
    </w:p>
    <w:p>
      <w:r>
        <w:rPr>
          <w:b w:val="0"/>
          <w:sz w:val="22"/>
        </w:rPr>
        <w:t>Equivalente aos programas PC1066 e PC1133.</w:t>
      </w:r>
    </w:p>
    <w:p>
      <w:pPr>
        <w:pStyle w:val="Heading2"/>
      </w:pPr>
      <w:r>
        <w:t>7.1 Consultar programação</w:t>
      </w:r>
    </w:p>
    <w:p>
      <w:pPr>
        <w:pStyle w:val="ListNumber"/>
      </w:pPr>
      <w:r>
        <w:t>Menu → Programação.</w:t>
      </w:r>
    </w:p>
    <w:p>
      <w:pPr>
        <w:pStyle w:val="ListNumber"/>
      </w:pPr>
      <w:r>
        <w:t>No topo, veja o resumo: programado, entregue, a produzir, saldo.</w:t>
      </w:r>
    </w:p>
    <w:p>
      <w:pPr>
        <w:pStyle w:val="ListNumber"/>
      </w:pPr>
      <w:r>
        <w:t>Use busca e filtros de data; clique em Filtrar.</w:t>
      </w:r>
    </w:p>
    <w:p>
      <w:pPr>
        <w:pStyle w:val="ListNumber"/>
      </w:pPr>
      <w:r>
        <w:t>Na aba Lista, navegue pelos registros.</w:t>
      </w:r>
    </w:p>
    <w:p>
      <w:pPr>
        <w:pStyle w:val="ListNumber"/>
      </w:pPr>
      <w:r>
        <w:t>Na aba Atrasos, veja itens pendentes com data vencida.</w:t>
      </w:r>
    </w:p>
    <w:p>
      <w:pPr>
        <w:pStyle w:val="Heading2"/>
      </w:pPr>
      <w:r>
        <w:t>7.2 Criar programação</w:t>
      </w:r>
    </w:p>
    <w:p>
      <w:pPr>
        <w:pStyle w:val="ListNumber"/>
      </w:pPr>
      <w:r>
        <w:t>Clique em Nova programação.</w:t>
      </w:r>
    </w:p>
    <w:p>
      <w:pPr>
        <w:pStyle w:val="ListNumber"/>
      </w:pPr>
      <w:r>
        <w:t>Informe data, quantidade e produto (ou desenho).</w:t>
      </w:r>
    </w:p>
    <w:p>
      <w:pPr>
        <w:pStyle w:val="ListNumber"/>
      </w:pPr>
      <w:r>
        <w:t>Preencha plano, flag, pedido se necessário.</w:t>
      </w:r>
    </w:p>
    <w:p>
      <w:pPr>
        <w:pStyle w:val="ListNumber"/>
      </w:pPr>
      <w:r>
        <w:t>Salve.</w:t>
      </w:r>
    </w:p>
    <w:p>
      <w:pPr>
        <w:pStyle w:val="Heading2"/>
      </w:pPr>
      <w:r>
        <w:t>7.3 Registrar entrega</w:t>
      </w:r>
    </w:p>
    <w:p>
      <w:pPr>
        <w:pStyle w:val="ListNumber"/>
      </w:pPr>
      <w:r>
        <w:t>Na lista, clique na programação desejada.</w:t>
      </w:r>
    </w:p>
    <w:p>
      <w:pPr>
        <w:pStyle w:val="ListNumber"/>
      </w:pPr>
      <w:r>
        <w:t>Informe a quantidade entregue.</w:t>
      </w:r>
    </w:p>
    <w:p>
      <w:pPr>
        <w:pStyle w:val="ListNumber"/>
      </w:pPr>
      <w:r>
        <w:t>Confirme — o sistema atualiza entregue, a produzir e saldo pendente.</w:t>
      </w:r>
    </w:p>
    <w:p>
      <w:pPr>
        <w:pStyle w:val="Heading1"/>
      </w:pPr>
      <w:r>
        <w:t>8. Relatórios</w:t>
      </w:r>
    </w:p>
    <w:p>
      <w:pPr>
        <w:pStyle w:val="ListNumber"/>
      </w:pPr>
      <w:r>
        <w:t>Menu → Relatórios.</w:t>
      </w:r>
    </w:p>
    <w:p>
      <w:pPr>
        <w:pStyle w:val="ListNumber"/>
      </w:pPr>
      <w:r>
        <w:t>Escolha o relatório desejado na lista.</w:t>
      </w:r>
    </w:p>
    <w:p>
      <w:pPr>
        <w:pStyle w:val="ListNumber"/>
      </w:pPr>
      <w:r>
        <w:t>Preencha filtros (datas, código OP, seção, tipo de estoque).</w:t>
      </w:r>
    </w:p>
    <w:p>
      <w:pPr>
        <w:pStyle w:val="ListNumber"/>
      </w:pPr>
      <w:r>
        <w:t>Clique em Gerar.</w:t>
      </w:r>
    </w:p>
    <w:p>
      <w:pPr>
        <w:pStyle w:val="ListNumber"/>
      </w:pPr>
      <w:r>
        <w:t>Confira totais no topo e a tabela abaixo.</w:t>
      </w:r>
    </w:p>
    <w:p>
      <w:pPr>
        <w:pStyle w:val="ListNumber"/>
      </w:pPr>
      <w:r>
        <w:t>Use Imprimir para saída em papel (comparar com COBOL na homologação).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em aberto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PC1078 — OPs não baixadas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OP baixadas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PC1071 — OPs encerradas com dados de produção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Produção por setor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PC1135 — quantidade por seção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Estoque MP crítico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PC1059 — abaixo do mínimo ou acima do máximo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Programação sintética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PC1067 — totais por mês</w:t>
            </w:r>
          </w:p>
        </w:tc>
      </w:tr>
    </w:tbl>
    <w:p>
      <w:r>
        <w:br w:type="page"/>
      </w:r>
    </w:p>
    <w:p>
      <w:pPr>
        <w:pStyle w:val="Heading1"/>
      </w:pPr>
      <w:r>
        <w:t>9. Fluxo típico do dia a dia</w:t>
      </w:r>
    </w:p>
    <w:p>
      <w:r>
        <w:rPr>
          <w:b w:val="0"/>
          <w:sz w:val="22"/>
        </w:rPr>
        <w:t>Sequência recomendada para uma produção completa:</w:t>
      </w:r>
    </w:p>
    <w:p>
      <w:pPr>
        <w:pStyle w:val="ListNumber"/>
      </w:pPr>
      <w:r>
        <w:t>Consultar programação do período (o que precisa ser produzido).</w:t>
      </w:r>
    </w:p>
    <w:p>
      <w:pPr>
        <w:pStyle w:val="ListNumber"/>
      </w:pPr>
      <w:r>
        <w:t>Criar ou localizar a OP do produto.</w:t>
      </w:r>
    </w:p>
    <w:p>
      <w:pPr>
        <w:pStyle w:val="ListNumber"/>
      </w:pPr>
      <w:r>
        <w:t>Emitir a OP para a fábrica (impressão).</w:t>
      </w:r>
    </w:p>
    <w:p>
      <w:pPr>
        <w:pStyle w:val="ListNumber"/>
      </w:pPr>
      <w:r>
        <w:t>À medida que as operações forem concluídas, registrar baixas de operação.</w:t>
      </w:r>
    </w:p>
    <w:p>
      <w:pPr>
        <w:pStyle w:val="ListNumber"/>
      </w:pPr>
      <w:r>
        <w:t>Baixar matéria-prima consumida na OP.</w:t>
      </w:r>
    </w:p>
    <w:p>
      <w:pPr>
        <w:pStyle w:val="ListNumber"/>
      </w:pPr>
      <w:r>
        <w:t>Encerrar a OP quando a produção terminar.</w:t>
      </w:r>
    </w:p>
    <w:p>
      <w:pPr>
        <w:pStyle w:val="ListNumber"/>
      </w:pPr>
      <w:r>
        <w:t>Registrar entrega na programação, se aplicável.</w:t>
      </w:r>
    </w:p>
    <w:p>
      <w:pPr>
        <w:pStyle w:val="ListNumber"/>
      </w:pPr>
      <w:r>
        <w:t>Consultar relatórios para conferência (OP abertas, produção por setor, etc.).</w:t>
      </w:r>
    </w:p>
    <w:p>
      <w:pPr>
        <w:pStyle w:val="Heading1"/>
      </w:pPr>
      <w:r>
        <w:t>10. Problemas comuns e soluções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Tela mostra "Backend offline"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Suba a API (Passo 2 da seção 2)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Erro de conexão / API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Verifique Docker e se a porta 3001 está livre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Lista vazia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Confirme se a migração dos dados foi executada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Não encontra processo na nova OP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Produto sem roteiro migrado (PCPA70XI)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Não consigo emitir OP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OP pode estar baixada — só OP aberta emite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Não consigo baixar operação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OP já encerrada ou operação inválida</w:t>
            </w:r>
          </w:p>
        </w:tc>
      </w:tr>
      <w:tr>
        <w:tc>
          <w:tcPr>
            <w:tcW w:type="dxa" w:w="4844"/>
            <w:shd w:fill="E8ECF1" w:val="clear"/>
          </w:tcPr>
          <w:p>
            <w:r>
              <w:rPr>
                <w:sz w:val="20"/>
              </w:rPr>
              <w:t>Saldo MP não mudou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Atualize a página; confira se a baixa foi confirmada</w:t>
            </w:r>
          </w:p>
        </w:tc>
      </w:tr>
    </w:tbl>
    <w:p>
      <w:pPr>
        <w:pStyle w:val="Heading1"/>
      </w:pPr>
      <w:r>
        <w:t>11. Suporte e homologação</w:t>
      </w:r>
    </w:p>
    <w:p>
      <w:r>
        <w:rPr>
          <w:b w:val="0"/>
          <w:sz w:val="22"/>
        </w:rPr>
        <w:t>Durante a homologação, use o documento "17-checklist-homologacao-cliente.docx" para validar cada fase com a FANANDRI. Anote divergências e compare sempre com o sistema COBOL em paralelo, sem alterar os mesmos registros nos dois sistemas ao mesmo tempo.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