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080"/>
      </w:tblGrid>
      <w:tr>
        <w:trPr>
          <w:trHeight w:val="100"/>
        </w:trPr>
        <w:tc>
          <w:tcPr>
            <w:tcW w:type="dxa" w:w="10080"/>
            <w:shd w:val="clear" w:color="auto" w:fill="1F3864"/>
          </w:tcPr>
          <w:p>
            <w:pPr>
              <w:spacing w:after="0"/>
            </w:pPr>
          </w:p>
        </w:tc>
      </w:tr>
    </w:tbl>
    <w:p>
      <w:pPr>
        <w:spacing w:before="200" w:after="20"/>
      </w:pPr>
      <w:r>
        <w:rPr>
          <w:rFonts w:ascii="Calibri" w:hAnsi="Calibri"/>
          <w:b/>
          <w:color w:val="1F3864"/>
          <w:sz w:val="40"/>
        </w:rPr>
        <w:t>Code Submission Rubric</w:t>
      </w:r>
    </w:p>
    <w:p>
      <w:pPr>
        <w:spacing w:after="180"/>
      </w:pPr>
      <w:r>
        <w:rPr>
          <w:rFonts w:ascii="Calibri" w:hAnsi="Calibri"/>
          <w:color w:val="5A5A5A"/>
          <w:sz w:val="21"/>
        </w:rPr>
        <w:t>COMP 4006  ·  80 of 100 points  ·  used on every assignment</w:t>
      </w:r>
    </w:p>
    <w:p>
      <w:pPr>
        <w:spacing w:after="80"/>
      </w:pPr>
      <w:r>
        <w:rPr>
          <w:rFonts w:ascii="Calibri" w:hAnsi="Calibri"/>
          <w:b w:val="0"/>
          <w:i w:val="0"/>
          <w:color w:val="1A1A1A"/>
          <w:sz w:val="20"/>
        </w:rPr>
        <w:t>This rubric is the same for every assignment in the course, so you can work against it from week one.</w:t>
      </w:r>
    </w:p>
    <w:p>
      <w:pPr>
        <w:spacing w:after="200"/>
      </w:pPr>
      <w:r>
        <w:rPr>
          <w:rFonts w:ascii="Calibri" w:hAnsi="Calibri"/>
          <w:b w:val="0"/>
          <w:i w:val="0"/>
          <w:color w:val="1A1A1A"/>
          <w:sz w:val="20"/>
        </w:rPr>
        <w:t>Most of it is about your thinking, not just your output. A program that prints the right answer by luck scores lower than one that shows you understood the problem, broke it into steps you could check, and confirmed each one. For every score below, your grader points to something specific in your file — a line, a name, an output, or something that should be there and isn’t — so you can always see where a score came from.</w:t>
      </w:r>
    </w:p>
    <w:tbl>
      <w:tblPr>
        <w:tblW w:type="auto" w:w="0"/>
        <w:tblLayout w:type="fixed"/>
        <w:tblLook w:firstColumn="1" w:firstRow="1" w:lastColumn="0" w:lastRow="0" w:noHBand="0" w:noVBand="1" w:val="04A0"/>
        <w:tblBorders>
          <w:top w:val="single" w:sz="4" w:color="B9C0CE"/>
          <w:left w:val="single" w:sz="4" w:color="B9C0CE"/>
          <w:bottom w:val="single" w:sz="4" w:color="B9C0CE"/>
          <w:right w:val="single" w:sz="4" w:color="B9C0CE"/>
          <w:insideH w:val="single" w:sz="4" w:color="B9C0CE"/>
          <w:insideV w:val="single" w:sz="4" w:color="B9C0CE"/>
        </w:tblBorders>
      </w:tblPr>
      <w:tblGrid>
        <w:gridCol w:w="3360"/>
        <w:gridCol w:w="3360"/>
        <w:gridCol w:w="3360"/>
      </w:tblGrid>
      <w:tr>
        <w:trPr>
          <w:tblHeader w:val="true"/>
        </w:trPr>
        <w:tc>
          <w:tcPr>
            <w:tcW w:type="dxa" w:w="3384"/>
            <w:shd w:val="clear" w:color="auto" w:fill="1F3864"/>
            <w:tcMar>
              <w:top w:w="80" w:type="dxa"/>
              <w:start w:w="110" w:type="dxa"/>
              <w:bottom w:w="80" w:type="dxa"/>
              <w:end w:w="110" w:type="dxa"/>
            </w:tcMar>
            <w:vAlign w:val="center"/>
          </w:tcPr>
          <w:p>
            <w:pPr>
              <w:spacing w:after="0" w:before="0"/>
            </w:pPr>
            <w:r>
              <w:rPr>
                <w:rFonts w:ascii="Calibri" w:hAnsi="Calibri"/>
                <w:b/>
                <w:i w:val="0"/>
                <w:color w:val="FFFFFF"/>
                <w:sz w:val="19"/>
              </w:rPr>
              <w:t>What is being scored</w:t>
            </w:r>
          </w:p>
        </w:tc>
        <w:tc>
          <w:tcPr>
            <w:tcW w:type="dxa" w:w="720"/>
            <w:shd w:val="clear" w:color="auto" w:fill="1F3864"/>
            <w:tcMar>
              <w:top w:w="80" w:type="dxa"/>
              <w:start w:w="110" w:type="dxa"/>
              <w:bottom w:w="80" w:type="dxa"/>
              <w:end w:w="110" w:type="dxa"/>
            </w:tcMar>
            <w:vAlign w:val="center"/>
          </w:tcPr>
          <w:p>
            <w:pPr>
              <w:spacing w:after="0" w:before="0"/>
              <w:jc w:val="center"/>
            </w:pPr>
            <w:r>
              <w:rPr>
                <w:rFonts w:ascii="Calibri" w:hAnsi="Calibri"/>
                <w:b/>
                <w:i w:val="0"/>
                <w:color w:val="FFFFFF"/>
                <w:sz w:val="19"/>
              </w:rPr>
              <w:t>Pts</w:t>
            </w:r>
          </w:p>
        </w:tc>
        <w:tc>
          <w:tcPr>
            <w:tcW w:type="dxa" w:w="5976"/>
            <w:shd w:val="clear" w:color="auto" w:fill="1F3864"/>
            <w:tcMar>
              <w:top w:w="80" w:type="dxa"/>
              <w:start w:w="110" w:type="dxa"/>
              <w:bottom w:w="80" w:type="dxa"/>
              <w:end w:w="110" w:type="dxa"/>
            </w:tcMar>
            <w:vAlign w:val="center"/>
          </w:tcPr>
          <w:p>
            <w:pPr>
              <w:spacing w:after="0" w:before="0"/>
            </w:pPr>
            <w:r>
              <w:rPr>
                <w:rFonts w:ascii="Calibri" w:hAnsi="Calibri"/>
                <w:b/>
                <w:i w:val="0"/>
                <w:color w:val="FFFFFF"/>
                <w:sz w:val="19"/>
              </w:rPr>
              <w:t>What earns that score</w:t>
            </w:r>
          </w:p>
        </w:tc>
      </w:tr>
      <w:tr>
        <w:tc>
          <w:tcPr>
            <w:tcW w:type="dxa" w:w="3384"/>
            <w:vMerge w:val="restart"/>
            <w:tcMar>
              <w:top w:w="80" w:type="dxa"/>
              <w:start w:w="110" w:type="dxa"/>
              <w:bottom w:w="80" w:type="dxa"/>
              <w:end w:w="110" w:type="dxa"/>
            </w:tcMar>
            <w:vAlign w:val="top"/>
            <w:shd w:val="clear" w:color="auto" w:fill="DCE3F2"/>
            <w:tcMar>
              <w:top w:w="110" w:type="dxa"/>
              <w:start w:w="110" w:type="dxa"/>
              <w:bottom w:w="110" w:type="dxa"/>
              <w:end w:w="110" w:type="dxa"/>
            </w:tcMar>
          </w:tcPr>
          <w:p>
            <w:pPr>
              <w:spacing w:after="20" w:before="0"/>
            </w:pPr>
            <w:r>
              <w:rPr>
                <w:rFonts w:ascii="Calibri" w:hAnsi="Calibri"/>
                <w:b/>
                <w:i w:val="0"/>
                <w:color w:val="1F3864"/>
                <w:sz w:val="21"/>
              </w:rPr>
              <w:t>Getting the Right Answer</w:t>
            </w:r>
          </w:p>
          <w:p>
            <w:pPr>
              <w:spacing w:after="100" w:before="0"/>
            </w:pPr>
            <w:r>
              <w:rPr>
                <w:rFonts w:ascii="Calibri" w:hAnsi="Calibri"/>
                <w:b w:val="0"/>
                <w:i w:val="0"/>
                <w:color w:val="5A5A5A"/>
                <w:sz w:val="17"/>
              </w:rPr>
              <w:t>25 points</w:t>
            </w:r>
          </w:p>
          <w:p>
            <w:pPr>
              <w:spacing w:after="100" w:before="0"/>
            </w:pPr>
            <w:r>
              <w:rPr>
                <w:rFonts w:ascii="Calibri" w:hAnsi="Calibri"/>
                <w:b w:val="0"/>
                <w:i w:val="0"/>
                <w:color w:val="1A1A1A"/>
                <w:sz w:val="18"/>
              </w:rPr>
              <w:t>Whether your program produces the correct result for every situation the assignment describes — not just the example it hands you.</w:t>
            </w:r>
          </w:p>
          <w:p>
            <w:pPr>
              <w:spacing w:after="0" w:before="0"/>
            </w:pPr>
            <w:r>
              <w:rPr>
                <w:rFonts w:ascii="Calibri" w:hAnsi="Calibri"/>
                <w:b w:val="0"/>
                <w:i/>
                <w:color w:val="5A5A5A"/>
                <w:sz w:val="17"/>
              </w:rPr>
              <w:t>Your grader points to: your program’s output, run on the inputs the assignment names</w:t>
            </w: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25</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Right for every case the assignment names, including the tricky ones it calls out.</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17</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Right for ordinary cases, but one unusual case named in the assignment comes out wrong.</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8</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Partly right, or right only for the example input you were given.</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0</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Doesn’t run, or runs but doesn’t do what was asked.</w:t>
            </w:r>
          </w:p>
        </w:tc>
      </w:tr>
      <w:tr>
        <w:tc>
          <w:tcPr>
            <w:tcW w:type="dxa" w:w="3384"/>
            <w:vMerge w:val="restart"/>
            <w:tcMar>
              <w:top w:w="80" w:type="dxa"/>
              <w:start w:w="110" w:type="dxa"/>
              <w:bottom w:w="80" w:type="dxa"/>
              <w:end w:w="110" w:type="dxa"/>
            </w:tcMar>
            <w:vAlign w:val="top"/>
            <w:shd w:val="clear" w:color="auto" w:fill="DCE3F2"/>
            <w:tcMar>
              <w:top w:w="110" w:type="dxa"/>
              <w:start w:w="110" w:type="dxa"/>
              <w:bottom w:w="110" w:type="dxa"/>
              <w:end w:w="110" w:type="dxa"/>
            </w:tcMar>
          </w:tcPr>
          <w:p>
            <w:pPr>
              <w:spacing w:after="20" w:before="0"/>
            </w:pPr>
            <w:r>
              <w:rPr>
                <w:rFonts w:ascii="Calibri" w:hAnsi="Calibri"/>
                <w:b/>
                <w:i w:val="0"/>
                <w:color w:val="1F3864"/>
                <w:sz w:val="21"/>
              </w:rPr>
              <w:t>Breaking the Problem into Steps</w:t>
              <w:br/>
              <w:t>Units 1–2</w:t>
            </w:r>
          </w:p>
          <w:p>
            <w:pPr>
              <w:spacing w:after="100" w:before="0"/>
            </w:pPr>
            <w:r>
              <w:rPr>
                <w:rFonts w:ascii="Calibri" w:hAnsi="Calibri"/>
                <w:b w:val="0"/>
                <w:i w:val="0"/>
                <w:color w:val="5A5A5A"/>
                <w:sz w:val="17"/>
              </w:rPr>
              <w:t>20 points</w:t>
            </w:r>
          </w:p>
          <w:p>
            <w:pPr>
              <w:spacing w:after="100" w:before="0"/>
            </w:pPr>
            <w:r>
              <w:rPr>
                <w:rFonts w:ascii="Calibri" w:hAnsi="Calibri"/>
                <w:b w:val="0"/>
                <w:i w:val="0"/>
                <w:color w:val="1A1A1A"/>
                <w:sz w:val="18"/>
              </w:rPr>
              <w:t>Whether you split the problem into steps you can follow and check one at a time, instead of solving it all at once in a single expression.</w:t>
            </w:r>
          </w:p>
          <w:p>
            <w:pPr>
              <w:spacing w:after="0" w:before="0"/>
            </w:pPr>
            <w:r>
              <w:rPr>
                <w:rFonts w:ascii="Calibri" w:hAnsi="Calibri"/>
                <w:b w:val="0"/>
                <w:i/>
                <w:color w:val="5A5A5A"/>
                <w:sz w:val="17"/>
              </w:rPr>
              <w:t>Your grader points to: the order of your lines, and whether your in-between values have names</w:t>
            </w: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1F3864"/>
                <w:sz w:val="19"/>
              </w:rPr>
              <w:t>20</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Each step stands on its own with a clear job. Values you work out along the way are stored in well-named variables rather than buried inside one long expression.</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1F3864"/>
                <w:sz w:val="19"/>
              </w:rPr>
              <w:t>13</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Mostly separate steps, but two jobs are squeezed together in one place.</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1F3864"/>
                <w:sz w:val="19"/>
              </w:rPr>
              <w:t>6</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Most of the logic runs together in one block.</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1F3864"/>
                <w:sz w:val="19"/>
              </w:rPr>
              <w:t>0</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No structure a reader can follow.</w:t>
            </w:r>
          </w:p>
        </w:tc>
      </w:tr>
      <w:tr>
        <w:tc>
          <w:tcPr>
            <w:tcW w:type="dxa" w:w="3384"/>
            <w:vMerge w:val="restart"/>
            <w:tcMar>
              <w:top w:w="80" w:type="dxa"/>
              <w:start w:w="110" w:type="dxa"/>
              <w:bottom w:w="80" w:type="dxa"/>
              <w:end w:w="110" w:type="dxa"/>
            </w:tcMar>
            <w:vAlign w:val="top"/>
            <w:shd w:val="clear" w:color="auto" w:fill="DCE3F2"/>
            <w:tcMar>
              <w:top w:w="110" w:type="dxa"/>
              <w:start w:w="110" w:type="dxa"/>
              <w:bottom w:w="110" w:type="dxa"/>
              <w:end w:w="110" w:type="dxa"/>
            </w:tcMar>
          </w:tcPr>
          <w:p>
            <w:pPr>
              <w:spacing w:after="20" w:before="0"/>
            </w:pPr>
            <w:r>
              <w:rPr>
                <w:rFonts w:ascii="Calibri" w:hAnsi="Calibri"/>
                <w:b/>
                <w:i w:val="0"/>
                <w:color w:val="1F3864"/>
                <w:sz w:val="21"/>
              </w:rPr>
              <w:t>Breaking the Problem into Steps</w:t>
              <w:br/>
              <w:t>Units 3–10</w:t>
            </w:r>
          </w:p>
          <w:p>
            <w:pPr>
              <w:spacing w:after="100" w:before="0"/>
            </w:pPr>
            <w:r>
              <w:rPr>
                <w:rFonts w:ascii="Calibri" w:hAnsi="Calibri"/>
                <w:b w:val="0"/>
                <w:i w:val="0"/>
                <w:color w:val="5A5A5A"/>
                <w:sz w:val="17"/>
              </w:rPr>
              <w:t>20 points</w:t>
            </w:r>
          </w:p>
          <w:p>
            <w:pPr>
              <w:spacing w:after="100" w:before="0"/>
            </w:pPr>
            <w:r>
              <w:rPr>
                <w:rFonts w:ascii="Calibri" w:hAnsi="Calibri"/>
                <w:b w:val="0"/>
                <w:i w:val="0"/>
                <w:color w:val="1A1A1A"/>
                <w:sz w:val="18"/>
              </w:rPr>
              <w:t>Whether each function you write does one job you could describe in a single sentence, and could be checked on its own.</w:t>
            </w:r>
          </w:p>
          <w:p>
            <w:pPr>
              <w:spacing w:after="0" w:before="0"/>
            </w:pPr>
            <w:r>
              <w:rPr>
                <w:rFonts w:ascii="Calibri" w:hAnsi="Calibri"/>
                <w:b w:val="0"/>
                <w:i/>
                <w:color w:val="5A5A5A"/>
                <w:sz w:val="17"/>
              </w:rPr>
              <w:t>Your grader points to: each function’s parameters, its return value, and how many jobs it does</w:t>
            </w: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20</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Every function does one job, takes what it needs as parameters, returns a value, and could be tested by itself.</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13</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One function does two jobs, or reaches for a value it should have been handed as a parameter.</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6</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Functions are there, but the places you split are arbitrary.</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0</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The problem called for splitting into functions, and it wasn’t split.</w:t>
            </w:r>
          </w:p>
        </w:tc>
      </w:tr>
      <w:tr>
        <w:tc>
          <w:tcPr>
            <w:tcW w:type="dxa" w:w="3384"/>
            <w:vMerge w:val="restart"/>
            <w:tcMar>
              <w:top w:w="80" w:type="dxa"/>
              <w:start w:w="110" w:type="dxa"/>
              <w:bottom w:w="80" w:type="dxa"/>
              <w:end w:w="110" w:type="dxa"/>
            </w:tcMar>
            <w:vAlign w:val="top"/>
            <w:shd w:val="clear" w:color="auto" w:fill="DCE3F2"/>
            <w:tcMar>
              <w:top w:w="110" w:type="dxa"/>
              <w:start w:w="110" w:type="dxa"/>
              <w:bottom w:w="110" w:type="dxa"/>
              <w:end w:w="110" w:type="dxa"/>
            </w:tcMar>
          </w:tcPr>
          <w:p>
            <w:pPr>
              <w:spacing w:after="20" w:before="0"/>
            </w:pPr>
            <w:r>
              <w:rPr>
                <w:rFonts w:ascii="Calibri" w:hAnsi="Calibri"/>
                <w:b/>
                <w:i w:val="0"/>
                <w:color w:val="1F3864"/>
                <w:sz w:val="21"/>
              </w:rPr>
              <w:t>Breaking the Problem into Steps</w:t>
              <w:br/>
              <w:t>Unit 9 (recursion)</w:t>
            </w:r>
          </w:p>
          <w:p>
            <w:pPr>
              <w:spacing w:after="100" w:before="0"/>
            </w:pPr>
            <w:r>
              <w:rPr>
                <w:rFonts w:ascii="Calibri" w:hAnsi="Calibri"/>
                <w:b w:val="0"/>
                <w:i w:val="0"/>
                <w:color w:val="5A5A5A"/>
                <w:sz w:val="17"/>
              </w:rPr>
              <w:t>20 points</w:t>
            </w:r>
          </w:p>
          <w:p>
            <w:pPr>
              <w:spacing w:after="100" w:before="0"/>
            </w:pPr>
            <w:r>
              <w:rPr>
                <w:rFonts w:ascii="Calibri" w:hAnsi="Calibri"/>
                <w:b w:val="0"/>
                <w:i w:val="0"/>
                <w:color w:val="1A1A1A"/>
                <w:sz w:val="18"/>
              </w:rPr>
              <w:t>Whether your recursion has a stopping point that is actually reached, and whether every call moves the problem closer to it.</w:t>
            </w:r>
          </w:p>
          <w:p>
            <w:pPr>
              <w:spacing w:after="0" w:before="0"/>
            </w:pPr>
            <w:r>
              <w:rPr>
                <w:rFonts w:ascii="Calibri" w:hAnsi="Calibri"/>
                <w:b w:val="0"/>
                <w:i/>
                <w:color w:val="5A5A5A"/>
                <w:sz w:val="17"/>
              </w:rPr>
              <w:t>Your grader points to: your stopping case, and what changes between one call and the next</w:t>
            </w: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1F3864"/>
                <w:sz w:val="19"/>
              </w:rPr>
              <w:t>20</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The stopping case is correct and gets reached; every call demonstrably makes the problem smaller.</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1F3864"/>
                <w:sz w:val="19"/>
              </w:rPr>
              <w:t>13</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Works, but one branch repeats another or can never run.</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1F3864"/>
                <w:sz w:val="19"/>
              </w:rPr>
              <w:t>6</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A stopping case is there, but it isn’t clear how the problem shrinks.</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1F3864"/>
                <w:sz w:val="19"/>
              </w:rPr>
              <w:t>0</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The recursion never stops, or has no stopping case.</w:t>
            </w:r>
          </w:p>
        </w:tc>
      </w:tr>
      <w:tr>
        <w:tc>
          <w:tcPr>
            <w:tcW w:type="dxa" w:w="3384"/>
            <w:vMerge w:val="restart"/>
            <w:tcMar>
              <w:top w:w="80" w:type="dxa"/>
              <w:start w:w="110" w:type="dxa"/>
              <w:bottom w:w="80" w:type="dxa"/>
              <w:end w:w="110" w:type="dxa"/>
            </w:tcMar>
            <w:vAlign w:val="top"/>
            <w:shd w:val="clear" w:color="auto" w:fill="DCE3F2"/>
            <w:tcMar>
              <w:top w:w="110" w:type="dxa"/>
              <w:start w:w="110" w:type="dxa"/>
              <w:bottom w:w="110" w:type="dxa"/>
              <w:end w:w="110" w:type="dxa"/>
            </w:tcMar>
          </w:tcPr>
          <w:p>
            <w:pPr>
              <w:spacing w:after="20" w:before="0"/>
            </w:pPr>
            <w:r>
              <w:rPr>
                <w:rFonts w:ascii="Calibri" w:hAnsi="Calibri"/>
                <w:b/>
                <w:i w:val="0"/>
                <w:color w:val="1F3864"/>
                <w:sz w:val="21"/>
              </w:rPr>
              <w:t>Handling Awkward Input</w:t>
            </w:r>
          </w:p>
          <w:p>
            <w:pPr>
              <w:spacing w:after="100" w:before="0"/>
            </w:pPr>
            <w:r>
              <w:rPr>
                <w:rFonts w:ascii="Calibri" w:hAnsi="Calibri"/>
                <w:b w:val="0"/>
                <w:i w:val="0"/>
                <w:color w:val="5A5A5A"/>
                <w:sz w:val="17"/>
              </w:rPr>
              <w:t>12 points</w:t>
            </w:r>
          </w:p>
          <w:p>
            <w:pPr>
              <w:spacing w:after="100" w:before="0"/>
            </w:pPr>
            <w:r>
              <w:rPr>
                <w:rFonts w:ascii="Calibri" w:hAnsi="Calibri"/>
                <w:b w:val="0"/>
                <w:i w:val="0"/>
                <w:color w:val="1A1A1A"/>
                <w:sz w:val="18"/>
              </w:rPr>
              <w:t>Whether your program holds up on the difficult inputs, not only the easy ones. What counts as difficult depends on your unit — see note 1.</w:t>
            </w:r>
          </w:p>
          <w:p>
            <w:pPr>
              <w:spacing w:after="0" w:before="0"/>
            </w:pPr>
            <w:r>
              <w:rPr>
                <w:rFonts w:ascii="Calibri" w:hAnsi="Calibri"/>
                <w:b w:val="0"/>
                <w:i/>
                <w:color w:val="5A5A5A"/>
                <w:sz w:val="17"/>
              </w:rPr>
              <w:t>Your grader points to: how your program behaves on the edge cases the assignment names</w:t>
            </w: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12</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Fully meets the standard for your unit.</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8</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Handles the obvious case, but catches errors too broadly or misses one edge case.</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4</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One catch-all error handler, or no handling of edge values at all.</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0</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Missing where the assignment asked for it.</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n/a</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Units 1–6 only, when the assignment names no edge cases. The criterion is dropped and your score is adjusted — see note 4.</w:t>
            </w:r>
          </w:p>
        </w:tc>
      </w:tr>
      <w:tr>
        <w:tc>
          <w:tcPr>
            <w:tcW w:type="dxa" w:w="3384"/>
            <w:vMerge w:val="restart"/>
            <w:tcMar>
              <w:top w:w="80" w:type="dxa"/>
              <w:start w:w="110" w:type="dxa"/>
              <w:bottom w:w="80" w:type="dxa"/>
              <w:end w:w="110" w:type="dxa"/>
            </w:tcMar>
            <w:vAlign w:val="top"/>
            <w:shd w:val="clear" w:color="auto" w:fill="DCE3F2"/>
            <w:tcMar>
              <w:top w:w="110" w:type="dxa"/>
              <w:start w:w="110" w:type="dxa"/>
              <w:bottom w:w="110" w:type="dxa"/>
              <w:end w:w="110" w:type="dxa"/>
            </w:tcMar>
          </w:tcPr>
          <w:p>
            <w:pPr>
              <w:spacing w:after="20" w:before="0"/>
            </w:pPr>
            <w:r>
              <w:rPr>
                <w:rFonts w:ascii="Calibri" w:hAnsi="Calibri"/>
                <w:b/>
                <w:i w:val="0"/>
                <w:color w:val="1F3864"/>
                <w:sz w:val="21"/>
              </w:rPr>
              <w:t>Writing Code Others Can Read</w:t>
            </w:r>
          </w:p>
          <w:p>
            <w:pPr>
              <w:spacing w:after="100" w:before="0"/>
            </w:pPr>
            <w:r>
              <w:rPr>
                <w:rFonts w:ascii="Calibri" w:hAnsi="Calibri"/>
                <w:b w:val="0"/>
                <w:i w:val="0"/>
                <w:color w:val="5A5A5A"/>
                <w:sz w:val="17"/>
              </w:rPr>
              <w:t>12 points</w:t>
            </w:r>
          </w:p>
          <w:p>
            <w:pPr>
              <w:spacing w:after="100" w:before="0"/>
            </w:pPr>
            <w:r>
              <w:rPr>
                <w:rFonts w:ascii="Calibri" w:hAnsi="Calibri"/>
                <w:b w:val="0"/>
                <w:i w:val="0"/>
                <w:color w:val="1A1A1A"/>
                <w:sz w:val="18"/>
              </w:rPr>
              <w:t>Whether someone can understand what your program does without running it or tracing it line by line.</w:t>
            </w:r>
          </w:p>
          <w:p>
            <w:pPr>
              <w:spacing w:after="0" w:before="0"/>
            </w:pPr>
            <w:r>
              <w:rPr>
                <w:rFonts w:ascii="Calibri" w:hAnsi="Calibri"/>
                <w:b w:val="0"/>
                <w:i/>
                <w:color w:val="5A5A5A"/>
                <w:sz w:val="17"/>
              </w:rPr>
              <w:t>Your grader points to: your variable names, and whether your comments explain why</w:t>
            </w: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1F3864"/>
                <w:sz w:val="19"/>
              </w:rPr>
              <w:t>12</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Names say what the values mean. Comments explain why you did something, not what the line does.</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1F3864"/>
                <w:sz w:val="19"/>
              </w:rPr>
              <w:t>8</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Mostly clear, with a few placeholder names left in.</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1F3864"/>
                <w:sz w:val="19"/>
              </w:rPr>
              <w:t>4</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Names hide the meaning rather than showing it.</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1F3864"/>
                <w:sz w:val="19"/>
              </w:rPr>
              <w:t>0</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Can’t be followed without tracing every line.</w:t>
            </w:r>
          </w:p>
        </w:tc>
      </w:tr>
      <w:tr>
        <w:tc>
          <w:tcPr>
            <w:tcW w:type="dxa" w:w="3384"/>
            <w:vMerge w:val="restart"/>
            <w:tcMar>
              <w:top w:w="80" w:type="dxa"/>
              <w:start w:w="110" w:type="dxa"/>
              <w:bottom w:w="80" w:type="dxa"/>
              <w:end w:w="110" w:type="dxa"/>
            </w:tcMar>
            <w:vAlign w:val="top"/>
            <w:shd w:val="clear" w:color="auto" w:fill="DCE3F2"/>
            <w:tcMar>
              <w:top w:w="110" w:type="dxa"/>
              <w:start w:w="110" w:type="dxa"/>
              <w:bottom w:w="110" w:type="dxa"/>
              <w:end w:w="110" w:type="dxa"/>
            </w:tcMar>
          </w:tcPr>
          <w:p>
            <w:pPr>
              <w:spacing w:after="20" w:before="0"/>
            </w:pPr>
            <w:r>
              <w:rPr>
                <w:rFonts w:ascii="Calibri" w:hAnsi="Calibri"/>
                <w:b/>
                <w:i w:val="0"/>
                <w:color w:val="1F3864"/>
                <w:sz w:val="21"/>
              </w:rPr>
              <w:t>Checking Your Own Work</w:t>
            </w:r>
          </w:p>
          <w:p>
            <w:pPr>
              <w:spacing w:after="100" w:before="0"/>
            </w:pPr>
            <w:r>
              <w:rPr>
                <w:rFonts w:ascii="Calibri" w:hAnsi="Calibri"/>
                <w:b w:val="0"/>
                <w:i w:val="0"/>
                <w:color w:val="5A5A5A"/>
                <w:sz w:val="17"/>
              </w:rPr>
              <w:t>11 points</w:t>
            </w:r>
          </w:p>
          <w:p>
            <w:pPr>
              <w:spacing w:after="100" w:before="0"/>
            </w:pPr>
            <w:r>
              <w:rPr>
                <w:rFonts w:ascii="Calibri" w:hAnsi="Calibri"/>
                <w:b w:val="0"/>
                <w:i w:val="0"/>
                <w:color w:val="1A1A1A"/>
                <w:sz w:val="18"/>
              </w:rPr>
              <w:t>Whether you tested your own functions, and whether you chose inputs likely to expose a problem rather than ones certain to pass. Applies only when the assignment asks you to write functions — see note 2.</w:t>
            </w:r>
          </w:p>
          <w:p>
            <w:pPr>
              <w:spacing w:after="0" w:before="0"/>
            </w:pPr>
            <w:r>
              <w:rPr>
                <w:rFonts w:ascii="Calibri" w:hAnsi="Calibri"/>
                <w:b w:val="0"/>
                <w:i/>
                <w:color w:val="5A5A5A"/>
                <w:sz w:val="17"/>
              </w:rPr>
              <w:t>Your grader points to: the inputs you chose, and evidence you compared results against expectations</w:t>
            </w: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11</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Calls the function with inputs beyond the example, including at least one edge or unusual case, and shows the results were checked against what you expected.</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7</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Calls the function with the example plus one variation.</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3</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Ran the function once.</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0</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No sign the function was ever run.</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1F3864"/>
                <w:sz w:val="19"/>
              </w:rPr>
              <w:t>n/a</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The assignment doesn’t ask you to write functions. The criterion is dropped and your score is adjusted — see note 4.</w:t>
            </w:r>
          </w:p>
        </w:tc>
      </w:tr>
    </w:tbl>
    <w:p>
      <w:pPr>
        <w:spacing w:after="0"/>
      </w:pPr>
    </w:p>
    <w:p>
      <w:pPr>
        <w:spacing w:before="280" w:after="100"/>
      </w:pPr>
      <w:r>
        <w:rPr>
          <w:rFonts w:ascii="Calibri" w:hAnsi="Calibri"/>
          <w:b/>
          <w:color w:val="1F3864"/>
          <w:sz w:val="24"/>
        </w:rPr>
        <w:t>Notes</w:t>
      </w:r>
    </w:p>
    <w:p>
      <w:pPr>
        <w:spacing w:after="40"/>
      </w:pPr>
      <w:r>
        <w:rPr>
          <w:rFonts w:ascii="Calibri" w:hAnsi="Calibri"/>
          <w:b/>
          <w:i w:val="0"/>
          <w:color w:val="1A1A1A"/>
          <w:sz w:val="19"/>
        </w:rPr>
        <w:t>1.  “Awkward input” means something different early and late in the course.</w:t>
      </w:r>
    </w:p>
    <w:p>
      <w:pPr>
        <w:pStyle w:val="ListBullet"/>
        <w:spacing w:after="60"/>
      </w:pPr>
      <w:r>
        <w:rPr>
          <w:rFonts w:ascii="Calibri" w:hAnsi="Calibri"/>
          <w:color w:val="1A1A1A"/>
          <w:sz w:val="19"/>
        </w:rPr>
        <w:t>Units 1–6 — the edge and boundary values the assignment names, such as zero, an empty entry, or the largest allowed value.</w:t>
      </w:r>
    </w:p>
    <w:p>
      <w:pPr>
        <w:pStyle w:val="ListBullet"/>
        <w:spacing w:after="60"/>
      </w:pPr>
      <w:r>
        <w:rPr>
          <w:rFonts w:ascii="Calibri" w:hAnsi="Calibri"/>
          <w:color w:val="1A1A1A"/>
          <w:sz w:val="19"/>
        </w:rPr>
        <w:t>Units 7–10 — realistic failures you anticipate, exceptions caught close to where they happen, and clear reporting of any record you skipped.</w:t>
      </w:r>
    </w:p>
    <w:p>
      <w:pPr>
        <w:spacing w:after="40"/>
      </w:pPr>
      <w:r>
        <w:rPr>
          <w:rFonts w:ascii="Calibri" w:hAnsi="Calibri"/>
          <w:b/>
          <w:i w:val="0"/>
          <w:color w:val="1A1A1A"/>
          <w:sz w:val="19"/>
        </w:rPr>
        <w:t>2.  Testing means calling your own function and checking what comes back.</w:t>
      </w:r>
    </w:p>
    <w:p>
      <w:pPr>
        <w:spacing w:after="160"/>
      </w:pPr>
      <w:r>
        <w:rPr>
          <w:rFonts w:ascii="Calibri" w:hAnsi="Calibri"/>
          <w:b w:val="0"/>
          <w:i w:val="0"/>
          <w:color w:val="1A1A1A"/>
          <w:sz w:val="19"/>
        </w:rPr>
        <w:t>No testing packages are used in this course. On assignments that ask for a script rather than functions, this criterion doesn’t apply — running your program and checking the output is credited under the first two criteria instead, and isn’t counted twice.</w:t>
      </w:r>
    </w:p>
    <w:p>
      <w:pPr>
        <w:spacing w:after="40"/>
      </w:pPr>
      <w:r>
        <w:rPr>
          <w:rFonts w:ascii="Calibri" w:hAnsi="Calibri"/>
          <w:b/>
          <w:i w:val="0"/>
          <w:color w:val="1A1A1A"/>
          <w:sz w:val="19"/>
        </w:rPr>
        <w:t>3.  Use only the methods on the assignment’s allowed list.</w:t>
      </w:r>
    </w:p>
    <w:p>
      <w:pPr>
        <w:spacing w:after="160"/>
      </w:pPr>
      <w:r>
        <w:rPr>
          <w:rFonts w:ascii="Calibri" w:hAnsi="Calibri"/>
          <w:b w:val="0"/>
          <w:i w:val="0"/>
          <w:color w:val="1A1A1A"/>
          <w:sz w:val="19"/>
        </w:rPr>
        <w:t>Every assignment lists the imports and methods available to you, carried forward from Unit 1. Using something outside that list costs 5 points off your assignment total. It is charged once however many appear, and it doesn’t lower your other scores — your work is scored on its own terms first, then the 5 points come off.</w:t>
      </w:r>
    </w:p>
    <w:p>
      <w:pPr>
        <w:spacing w:after="40"/>
      </w:pPr>
      <w:r>
        <w:rPr>
          <w:rFonts w:ascii="Calibri" w:hAnsi="Calibri"/>
          <w:b/>
          <w:i w:val="0"/>
          <w:color w:val="1A1A1A"/>
          <w:sz w:val="19"/>
        </w:rPr>
        <w:t>4.  When a criterion doesn’t apply, it is dropped — not scored zero.</w:t>
      </w:r>
    </w:p>
    <w:p>
      <w:pPr>
        <w:spacing w:after="160"/>
      </w:pPr>
      <w:r>
        <w:rPr>
          <w:rFonts w:ascii="Calibri" w:hAnsi="Calibri"/>
          <w:b w:val="0"/>
          <w:i w:val="0"/>
          <w:color w:val="1A1A1A"/>
          <w:sz w:val="19"/>
        </w:rPr>
        <w:t>Your points on the remaining criteria are divided by what those criteria were worth, then scaled back up to 80. You are never penalised for an opportunity the assignment didn’t give you.</w:t>
      </w:r>
    </w:p>
    <w:tbl>
      <w:tblPr>
        <w:tblW w:type="auto" w:w="0"/>
        <w:tblLayout w:type="fixed"/>
        <w:tblLook w:firstColumn="1" w:firstRow="1" w:lastColumn="0" w:lastRow="0" w:noHBand="0" w:noVBand="1" w:val="04A0"/>
        <w:tblBorders>
          <w:top w:val="single" w:sz="4" w:color="E0C68A"/>
          <w:left w:val="single" w:sz="4" w:color="E0C68A"/>
          <w:bottom w:val="single" w:sz="4" w:color="E0C68A"/>
          <w:right w:val="single" w:sz="4" w:color="E0C68A"/>
          <w:insideH w:val="single" w:sz="4" w:color="E0C68A"/>
          <w:insideV w:val="single" w:sz="4" w:color="E0C68A"/>
        </w:tblBorders>
      </w:tblPr>
      <w:tblGrid>
        <w:gridCol w:w="10080"/>
      </w:tblGrid>
      <w:tr>
        <w:tc>
          <w:tcPr>
            <w:tcW w:type="dxa" w:w="10080"/>
            <w:shd w:val="clear" w:color="auto" w:fill="FFF6E5"/>
            <w:tcMar>
              <w:top w:w="120" w:type="dxa"/>
              <w:start w:w="150" w:type="dxa"/>
              <w:bottom w:w="120" w:type="dxa"/>
              <w:end w:w="150" w:type="dxa"/>
            </w:tcMar>
          </w:tcPr>
          <w:p>
            <w:pPr>
              <w:spacing w:after="60" w:before="0"/>
            </w:pPr>
            <w:r>
              <w:rPr>
                <w:rFonts w:ascii="Calibri" w:hAnsi="Calibri"/>
                <w:b/>
                <w:i w:val="0"/>
                <w:color w:val="1F3864"/>
                <w:sz w:val="20"/>
              </w:rPr>
              <w:t>Before you submit: run your file one more time</w:t>
            </w:r>
          </w:p>
          <w:p>
            <w:pPr>
              <w:spacing w:after="0" w:before="0"/>
            </w:pPr>
            <w:r>
              <w:rPr>
                <w:rFonts w:ascii="Calibri" w:hAnsi="Calibri"/>
                <w:b w:val="0"/>
                <w:i w:val="0"/>
                <w:color w:val="1A1A1A"/>
                <w:sz w:val="19"/>
              </w:rPr>
              <w:t>Code that doesn’t run scores 0 for Getting the Right Answer, and it also caps your Reflective Responses at 10 out of 20 — however good that writing is. A working program is the floor, not an extra. A program that runs and gets the wrong answer always scores better than one that won’t start.</w:t>
            </w:r>
          </w:p>
        </w:tc>
      </w:tr>
    </w:tbl>
    <w:p>
      <w:pPr>
        <w:spacing w:after="40"/>
      </w:pP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