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080"/>
      </w:tblGrid>
      <w:tr>
        <w:tc>
          <w:tcPr>
            <w:tcW w:type="dxa" w:w="10080"/>
            <w:shd w:val="clear" w:fill="1F3864"/>
          </w:tcPr>
          <w:p>
            <w:pPr>
              <w:spacing w:after="0"/>
            </w:pPr>
          </w:p>
        </w:tc>
      </w:tr>
    </w:tbl>
    <w:p>
      <w:pPr>
        <w:spacing w:before="200" w:after="20"/>
      </w:pPr>
      <w:r>
        <w:rPr>
          <w:rFonts w:ascii="Calibri" w:hAnsi="Calibri"/>
          <w:b/>
          <w:i w:val="0"/>
          <w:color w:val="1F3864"/>
          <w:sz w:val="40"/>
        </w:rPr>
        <w:t>Reflection Prompt Template</w:t>
      </w:r>
    </w:p>
    <w:p>
      <w:pPr>
        <w:spacing w:before="0" w:after="200"/>
      </w:pPr>
      <w:r>
        <w:rPr>
          <w:rFonts w:ascii="Calibri" w:hAnsi="Calibri"/>
          <w:b w:val="0"/>
          <w:i w:val="0"/>
          <w:color w:val="5A5A5A"/>
          <w:sz w:val="21"/>
        </w:rPr>
        <w:t>COMP 4006  ·  Pre-Coding &amp; Post-Coding  ·  20 points  ·  reusable across every assignment</w:t>
      </w:r>
    </w:p>
    <w:p>
      <w:pPr>
        <w:spacing w:before="0" w:after="120"/>
      </w:pPr>
      <w:r>
        <w:rPr>
          <w:rFonts w:ascii="Calibri" w:hAnsi="Calibri"/>
          <w:b w:val="0"/>
          <w:i w:val="0"/>
          <w:color w:val="1A1A1A"/>
          <w:sz w:val="20"/>
        </w:rPr>
        <w:t>This is the reusable shape for this course's reflective-response component: two sections, Pre-Coding and Post-Coding, used on every assignment. The student names the two exercises they expect to find hardest, ranks them, and breaks each into an ordered list of steps before coding. The Post-Coding prompts then send them back to those two lists — one prompt per exercise — and close with the exercise that actually turned out to be hardest, which may be neither of them. The wording below is generic on purpose so it fits any unit; an instructor adapts each prompt and its example to a specific assignment using the band note beside it, then removes the instructor notes before posting the student-facing version. The examples stay.</w:t>
      </w:r>
    </w:p>
    <w:p>
      <w:pPr>
        <w:spacing w:before="0" w:after="200"/>
      </w:pPr>
      <w:r>
        <w:rPr>
          <w:rFonts w:ascii="Calibri" w:hAnsi="Calibri"/>
          <w:b w:val="0"/>
          <w:i w:val="0"/>
          <w:color w:val="1A1A1A"/>
          <w:sz w:val="20"/>
        </w:rPr>
        <w:t>Grounded in the course's research summary (publications/research-summary.md): explicit, concrete, problem-specific prompts produce more accurate self-reports than generic reflection; comprehension monitoring and planning are the two prompt types most associated with fewer errors; and existing measures of computational thinking rarely assess decomposition beyond counting how many pieces a solution was split into, missing how a student chose to split a problem, how the parts relate to each other, and whether the split actually helped (Rich, Egan, &amp; Ellsworth 2019). Haldeman et al. (2025) supply the empirical case for weighting the Post-Coding prompts about relationships between steps: in their CS1 study 92% of students could split code into appropriate parts, but only 49% got the information passing between those parts right.</w:t>
      </w:r>
    </w:p>
    <w:p>
      <w:pPr>
        <w:spacing w:before="280" w:after="100"/>
      </w:pPr>
      <w:r>
        <w:rPr>
          <w:rFonts w:ascii="Calibri" w:hAnsi="Calibri"/>
          <w:b/>
          <w:i w:val="0"/>
          <w:color w:val="1F3864"/>
          <w:sz w:val="26"/>
        </w:rPr>
        <w:t>Student Instructions</w:t>
      </w:r>
    </w:p>
    <w:p>
      <w:pPr>
        <w:spacing w:after="60"/>
        <w:ind w:left="317"/>
      </w:pPr>
      <w:r>
        <w:rPr>
          <w:rFonts w:ascii="Calibri" w:hAnsi="Calibri"/>
          <w:b/>
          <w:i w:val="0"/>
          <w:color w:val="1F3864"/>
          <w:sz w:val="19"/>
        </w:rPr>
        <w:t xml:space="preserve">·  </w:t>
      </w:r>
      <w:r>
        <w:rPr>
          <w:rFonts w:ascii="Calibri" w:hAnsi="Calibri"/>
          <w:b w:val="0"/>
          <w:i w:val="0"/>
          <w:color w:val="1A1A1A"/>
          <w:sz w:val="19"/>
        </w:rPr>
        <w:t>Answer every numbered prompt directly beneath it, in the space provided.</w:t>
      </w:r>
    </w:p>
    <w:p>
      <w:pPr>
        <w:spacing w:after="60"/>
        <w:ind w:left="317"/>
      </w:pPr>
      <w:r>
        <w:rPr>
          <w:rFonts w:ascii="Calibri" w:hAnsi="Calibri"/>
          <w:b/>
          <w:i w:val="0"/>
          <w:color w:val="1F3864"/>
          <w:sz w:val="19"/>
        </w:rPr>
        <w:t xml:space="preserve">·  </w:t>
      </w:r>
      <w:r>
        <w:rPr>
          <w:rFonts w:ascii="Calibri" w:hAnsi="Calibri"/>
          <w:b w:val="0"/>
          <w:i w:val="0"/>
          <w:color w:val="1A1A1A"/>
          <w:sz w:val="19"/>
        </w:rPr>
        <w:t>Write in your own words. A grader — human or automated — checks your answer against your submitted code, so name something specific: an exercise, a step, a variable, a line, a value. A vague or generic answer cannot be verified and will not earn credit.</w:t>
      </w:r>
    </w:p>
    <w:p>
      <w:pPr>
        <w:spacing w:after="60"/>
        <w:ind w:left="317"/>
      </w:pPr>
      <w:r>
        <w:rPr>
          <w:rFonts w:ascii="Calibri" w:hAnsi="Calibri"/>
          <w:b/>
          <w:i w:val="0"/>
          <w:color w:val="1F3864"/>
          <w:sz w:val="19"/>
        </w:rPr>
        <w:t xml:space="preserve">·  </w:t>
      </w:r>
      <w:r>
        <w:rPr>
          <w:rFonts w:ascii="Calibri" w:hAnsi="Calibri"/>
          <w:b w:val="0"/>
          <w:i w:val="0"/>
          <w:color w:val="1A1A1A"/>
          <w:sz w:val="19"/>
        </w:rPr>
        <w:t>Each prompt shows what it is worth. Beneath each one is an example of a full-credit answer — use it as your guide for how much detail is expected. There is no word limit, but an answer much shorter than the example is probably missing something, and a much longer one is probably padding.</w:t>
      </w:r>
    </w:p>
    <w:p>
      <w:pPr>
        <w:spacing w:after="60"/>
        <w:ind w:left="317"/>
      </w:pPr>
      <w:r>
        <w:rPr>
          <w:rFonts w:ascii="Calibri" w:hAnsi="Calibri"/>
          <w:b/>
          <w:i w:val="0"/>
          <w:color w:val="1F3864"/>
          <w:sz w:val="19"/>
        </w:rPr>
        <w:t xml:space="preserve">·  </w:t>
      </w:r>
      <w:r>
        <w:rPr>
          <w:rFonts w:ascii="Calibri" w:hAnsi="Calibri"/>
          <w:b w:val="0"/>
          <w:i w:val="0"/>
          <w:color w:val="1A1A1A"/>
          <w:sz w:val="19"/>
        </w:rPr>
        <w:t>In Pre-Coding 1.a you name the exercise you expect to be hardest, and in 2.a the one you expect to be second hardest. Post-Coding prompts 1, 2 and 3 refer back to those same two exercises — do not swap in a different one partway through. Post-Coding 4 is where you say if a different exercise turned out to be the hard one.</w:t>
      </w:r>
    </w:p>
    <w:p>
      <w:pPr>
        <w:spacing w:after="60"/>
        <w:ind w:left="317"/>
      </w:pPr>
      <w:r>
        <w:rPr>
          <w:rFonts w:ascii="Calibri" w:hAnsi="Calibri"/>
          <w:b/>
          <w:i w:val="0"/>
          <w:color w:val="1F3864"/>
          <w:sz w:val="19"/>
        </w:rPr>
        <w:t xml:space="preserve">·  </w:t>
      </w:r>
      <w:r>
        <w:rPr>
          <w:rFonts w:ascii="Calibri" w:hAnsi="Calibri"/>
          <w:b w:val="0"/>
          <w:i w:val="0"/>
          <w:color w:val="1A1A1A"/>
          <w:sz w:val="19"/>
        </w:rPr>
        <w:t>Pre-Coding prompts are answered before you write any code. Post-Coding prompts are answered after your program runs the way you intend.</w:t>
      </w:r>
    </w:p>
    <w:p>
      <w:pPr>
        <w:spacing w:after="60"/>
        <w:ind w:left="317"/>
      </w:pPr>
      <w:r>
        <w:rPr>
          <w:rFonts w:ascii="Calibri" w:hAnsi="Calibri"/>
          <w:b/>
          <w:i w:val="0"/>
          <w:color w:val="1F3864"/>
          <w:sz w:val="19"/>
        </w:rPr>
        <w:t xml:space="preserve">·  </w:t>
      </w:r>
      <w:r>
        <w:rPr>
          <w:rFonts w:ascii="Calibri" w:hAnsi="Calibri"/>
          <w:b w:val="0"/>
          <w:i w:val="0"/>
          <w:color w:val="1A1A1A"/>
          <w:sz w:val="19"/>
        </w:rPr>
        <w:t>Full credit is available on every prompt even when your code produces the wrong answer, when the exercise you predicted would be hardest turned out to be easy, and when your plan needed no changes at all. What is scored is whether you name real, specific things and whether they match the file you submitted.</w:t>
      </w:r>
    </w:p>
    <w:tbl>
      <w:tblPr>
        <w:tblW w:type="auto" w:w="0"/>
        <w:tblLayout w:type="fixed"/>
        <w:tblLook w:firstColumn="1" w:firstRow="1" w:lastColumn="0" w:lastRow="0" w:noHBand="0" w:noVBand="1" w:val="04A0"/>
        <w:tblBorders>
          <w:top w:val="single" w:sz="4" w:color="E0C68A"/>
          <w:left w:val="single" w:sz="4" w:color="E0C68A"/>
          <w:bottom w:val="single" w:sz="4" w:color="E0C68A"/>
          <w:right w:val="single" w:sz="4" w:color="E0C68A"/>
          <w:insideH w:val="single" w:sz="4" w:color="E0C68A"/>
          <w:insideV w:val="single" w:sz="4" w:color="E0C68A"/>
        </w:tblBorders>
      </w:tblPr>
      <w:tblGrid>
        <w:gridCol w:w="10080"/>
      </w:tblGrid>
      <w:tr>
        <w:tc>
          <w:tcPr>
            <w:tcW w:type="dxa" w:w="10080"/>
            <w:shd w:val="clear" w:fill="FFF6E5"/>
          </w:tcPr>
          <w:p>
            <w:pPr>
              <w:spacing w:before="80" w:after="80"/>
            </w:pPr>
            <w:r>
              <w:rPr>
                <w:rFonts w:ascii="Calibri" w:hAnsi="Calibri"/>
                <w:b/>
                <w:i w:val="0"/>
                <w:color w:val="1F3864"/>
                <w:sz w:val="21"/>
              </w:rPr>
              <w:t>One thing that caps this section</w:t>
            </w:r>
          </w:p>
          <w:p>
            <w:pPr>
              <w:spacing w:after="80"/>
            </w:pPr>
            <w:r>
              <w:rPr>
                <w:rFonts w:ascii="Calibri" w:hAnsi="Calibri"/>
                <w:b w:val="0"/>
                <w:i w:val="0"/>
                <w:color w:val="1A1A1A"/>
                <w:sz w:val="19"/>
              </w:rPr>
              <w:t>If your code has an error and won't run — whether that's a syntax error, a crash, or it just doesn't produce any output — the most you can score on this section is 10 out of 20 points.</w:t>
            </w:r>
          </w:p>
          <w:p>
            <w:pPr>
              <w:spacing w:after="80"/>
            </w:pPr>
            <w:r>
              <w:rPr>
                <w:rFonts w:ascii="Calibri" w:hAnsi="Calibri"/>
                <w:b w:val="0"/>
                <w:i w:val="0"/>
                <w:color w:val="1A1A1A"/>
                <w:sz w:val="19"/>
              </w:rPr>
              <w:t>What matters is whether the code runs, not whether it's correct. So, if your program runs without errors but gives the wrong answer or solves the wrong problem, that doesn't trigger the point cap.</w:t>
            </w:r>
          </w:p>
          <w:p>
            <w:pPr>
              <w:spacing w:after="80"/>
            </w:pPr>
            <w:r>
              <w:rPr>
                <w:rFonts w:ascii="Calibri" w:hAnsi="Calibri"/>
                <w:b w:val="0"/>
                <w:i w:val="0"/>
                <w:color w:val="1A1A1A"/>
                <w:sz w:val="19"/>
              </w:rPr>
              <w:t>Also, writing a strong reflection can make up for having an incorrect program — but it can't make up for having a program that doesn't run at all.</w:t>
            </w:r>
          </w:p>
        </w:tc>
      </w:tr>
    </w:tbl>
    <w:p>
      <w:pPr>
        <w:spacing w:after="40"/>
      </w:pPr>
    </w:p>
    <w:p>
      <w:pPr>
        <w:spacing w:before="320" w:after="100"/>
      </w:pPr>
      <w:r>
        <w:rPr>
          <w:rFonts w:ascii="Calibri" w:hAnsi="Calibri"/>
          <w:b/>
          <w:i w:val="0"/>
          <w:color w:val="1F3864"/>
          <w:sz w:val="28"/>
        </w:rPr>
        <w:t>Pre-Coding</w:t>
      </w:r>
    </w:p>
    <w:p>
      <w:pPr>
        <w:spacing w:before="0" w:after="160"/>
      </w:pPr>
      <w:r>
        <w:rPr>
          <w:rFonts w:ascii="Calibri" w:hAnsi="Calibri"/>
          <w:b w:val="0"/>
          <w:i w:val="0"/>
          <w:color w:val="5A5A5A"/>
          <w:sz w:val="18"/>
        </w:rPr>
        <w:t>Answer before writing any code.  ·  10 points</w:t>
      </w: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1.a  </w:t>
            </w:r>
            <w:r>
              <w:rPr>
                <w:rFonts w:ascii="Calibri" w:hAnsi="Calibri"/>
                <w:b/>
                <w:i w:val="0"/>
                <w:color w:val="1A1A1A"/>
                <w:sz w:val="22"/>
              </w:rPr>
              <w:t>Name the one exercise in this assignment you expect to be hardest to code successfully. What about that exercise makes you expect it to be the hardest?</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6, the Model Deployment Eligibility Report. It builds one final true/false result out of three separate checks, and the logic explanation has to print the values it actually computed rather than text I type in myself. That last part is the piece I am least sure how to do."</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1–2 · planning. Required on every assignment, every unit — only the example changes. The exercise named here is referenced again by 1.b, Post-Coding 1 and Post-Coding 3. Do not substitute a "predict the exact output" prompt: several assignments (e.g. assignment-1.py, Exercises 4–5) state the expected output directly, which makes that prediction unanswerable or a transcription exercise. Credit the reason, not the choice — any exercise is a defensible pick if the rationale names something real about it.</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1.b  </w:t>
            </w:r>
            <w:r>
              <w:rPr>
                <w:rFonts w:ascii="Calibri" w:hAnsi="Calibri"/>
                <w:b/>
                <w:i w:val="0"/>
                <w:color w:val="1A1A1A"/>
                <w:sz w:val="22"/>
              </w:rPr>
              <w:t>For the exercise you named in 1.a, what are the steps your code will need to carry out, listed in the order it will carry them out?</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"1. Set accuracy, sample_size and data_verified. 2. Check accuracy &gt;= 0.90. 3. Check sample_size &gt; 1000. 4. Check data_verified. 5. Combine the three checks into the final decision. 6. Print each check with a label. 7. Print the logic explanation line using the values from steps 2–5. 8. Change one input and print the second run."</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3 · planning. This is decomposition's axis-identification step (Rich et al. 2019), asked prospectively only — whether the split worked is a Post-Coding question, since novices cannot reliably evaluate a decomposition before attempting it (research-summary.md, finding 4). The list produced here is the artifact Post-Coding 1 and 3 refer back to, so it must be written out, not held in the student's head. Reword the italicized noun by band: Units 1–2 (concrete) — "steps", as written, since no functions exist yet at this band. Units 3–6 (structural) — replace "steps" with "functions". Units 7–10 (strategic) — replace "steps" with "parts", generic on purpose, since classes, recursive calls or other structures may apply.</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2.a  </w:t>
            </w:r>
            <w:r>
              <w:rPr>
                <w:rFonts w:ascii="Calibri" w:hAnsi="Calibri"/>
                <w:b/>
                <w:i w:val="0"/>
                <w:color w:val="1A1A1A"/>
                <w:sz w:val="22"/>
              </w:rPr>
              <w:t>Name the exercise you expect to be second hardest. Why do you rank it below the exercise you named in 1.a?</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2, Access-Control Conditions. It also combines boolean variables, but each of A to D stands on its own and nothing has to be combined at the end, so there are fewer pieces that depend on each other than in Exercise 6."</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2 · comprehension monitoring. The ranking is the point: it forces the student to say what makes one problem harder than another, which a grader can check against both exercises. Answer must distinguish these two specific exercises — a generic reason ("it is shorter") that would fit any easier problem does not earn full credit. Referenced again by 2.b, Post-Coding 2 and Post-Coding 3.</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2.b  </w:t>
            </w:r>
            <w:r>
              <w:rPr>
                <w:rFonts w:ascii="Calibri" w:hAnsi="Calibri"/>
                <w:b/>
                <w:i w:val="0"/>
                <w:color w:val="1A1A1A"/>
                <w:sz w:val="22"/>
              </w:rPr>
              <w:t>For the exercise you named in 2.a, what are the steps your code will need to carry out, listed in the order it will carry them out?</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"1. Set mfa_enabled, vpn_connected and account_flagged. 2. Write and print expression A. 3. Write and print expression B. 4. Write and print expression C. 5. Write and print expression D. 6. Work out which of A to D is easiest to misread. 7. Write the precedence comment explaining the evaluation order."</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3 · planning. Same prompt as 1.b applied to the second exercise, reworded by band the same way. Two separate lists are required because Post-Coding 3 compares them — a single merged list makes that comparison impossible to grade.</w:t>
            </w:r>
          </w:p>
        </w:tc>
      </w:tr>
    </w:tbl>
    <w:p>
      <w:pPr>
        <w:spacing w:after="80"/>
      </w:pPr>
    </w:p>
    <w:p>
      <w:pPr>
        <w:spacing w:before="320" w:after="100"/>
      </w:pPr>
      <w:r>
        <w:rPr>
          <w:rFonts w:ascii="Calibri" w:hAnsi="Calibri"/>
          <w:b/>
          <w:i w:val="0"/>
          <w:color w:val="1F3864"/>
          <w:sz w:val="28"/>
        </w:rPr>
        <w:t>Post-Coding</w:t>
      </w:r>
    </w:p>
    <w:p>
      <w:pPr>
        <w:spacing w:before="0" w:after="160"/>
      </w:pPr>
      <w:r>
        <w:rPr>
          <w:rFonts w:ascii="Calibri" w:hAnsi="Calibri"/>
          <w:b w:val="0"/>
          <w:i w:val="0"/>
          <w:color w:val="5A5A5A"/>
          <w:sz w:val="18"/>
        </w:rPr>
        <w:t>Answer after your program runs the way you intend.  ·  10 points</w:t>
      </w: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1.  </w:t>
            </w:r>
            <w:r>
              <w:rPr>
                <w:rFonts w:ascii="Calibri" w:hAnsi="Calibri"/>
                <w:b/>
                <w:i w:val="0"/>
                <w:color w:val="1A1A1A"/>
                <w:sz w:val="22"/>
              </w:rPr>
              <w:t>In your finished code for the exercise you named in 1.a, which steps from your 1.b list could run in a different order without changing the output?</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"Steps 2, 3 and 4 could run in any order — each checks a different variable and none of them uses another's result. Steps 5 and 7 could not move: step 5 needs all three checks to already exist, and step 7 prints the combined value that step 5 produces."</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6 · comprehension monitoring. Relational decomposition (Rich et al. 2019) — the sequence and dependence relations. Asking which steps are order-free, rather than which step feeds another, keeps the prompt neutral: an exercise whose steps are wholly independent and one whose steps form a strict chain are both fully answerable, and so is anything between. "All of them" and "none of them" are both full-credit answers when true of the submitted code. Answering still requires the student to work out what each step consumes and produces, which is the skill Haldeman et al. (2025) measure as the weak point — 92% of their CS1 students split code into appropriate parts, but only 49% handled the information passing between those parts correctly. Grade the claim against the code: score accuracy, never how dependent or independent the steps happened to be.</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2.  </w:t>
            </w:r>
            <w:r>
              <w:rPr>
                <w:rFonts w:ascii="Calibri" w:hAnsi="Calibri"/>
                <w:b/>
                <w:i w:val="0"/>
                <w:color w:val="1A1A1A"/>
                <w:sz w:val="22"/>
              </w:rPr>
              <w:t>How does the code you wrote for the exercise you named in 2.a compare, step for step, with the list you wrote in 2.b?</w:t>
            </w:r>
          </w:p>
          <w:p>
            <w:pPr>
              <w:spacing w:after="120"/>
            </w:pPr>
            <w:r>
              <w:rPr>
                <w:rFonts w:ascii="Calibri" w:hAnsi="Calibri"/>
                <w:b/>
                <w:i w:val="0"/>
                <w:color w:val="1F3864"/>
                <w:sz w:val="17"/>
              </w:rPr>
              <w:t>3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"It follows the list except in two places. I added a step before step 2 to print a heading for the first run, because the exercise asks for both runs to be labelled and my list had no step that produced a label. I also merged steps 6 and 7 — I worked out the precedence while writing the comment rather than beforehand, so they became one step."</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5–6 · process monitoring. Satisfies the course's ≥1 process-monitoring quota by itself. Captures decomposition's iterative nature (Rich et al. 2019) without presupposing revision: "the code follows the list exactly, in the same order" is a complete full-credit answer if it is true of the submitted file, and so is an account of steps that were added, dropped, split or reordered. Grade on whether the comparison is accurate against the code, never on how much changed. Do not score a student down for a plan that held.</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3.  </w:t>
            </w:r>
            <w:r>
              <w:rPr>
                <w:rFonts w:ascii="Calibri" w:hAnsi="Calibri"/>
                <w:b/>
                <w:i w:val="0"/>
                <w:color w:val="1A1A1A"/>
                <w:sz w:val="22"/>
              </w:rPr>
              <w:t>How does the way you broke the exercise in 1.a into steps compare with the way you broke down the exercise in 2.a?</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6's list builds toward one combined result, so the last steps depend on nearly all the earlier ones. Exercise 2's list is seven steps that barely touch each other — nothing gets combined. I had not noticed the two problems needed different shapes until I put the lists next to each other."</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6 · reflection on cognition. Comparative decomposition (Rich et al. 2019) — using two instances of the same activity to surface what did and did not transfer. Worded as an open comparison rather than "what differences do you see", which would presuppose that the two lists differ; two exercises split along much the same lines are a legitimate finding, and a student who says so and names what is shared earns full credit. Whatever is claimed — similarity or difference — must be traceable to both lists; a statement true of any two exercises ("one was longer") does not. This prompt usually requires the grader to read both lists before scoring.</w:t>
            </w:r>
          </w:p>
        </w:tc>
      </w:tr>
    </w:tbl>
    <w:p>
      <w:pPr>
        <w:spacing w:after="80"/>
      </w:pPr>
    </w:p>
    <w:tbl>
      <w:tblPr>
        <w:tblW w:type="auto" w:w="0"/>
        <w:tblLayout w:type="fixed"/>
        <w:tblLook w:firstColumn="1" w:firstRow="1" w:lastColumn="0" w:lastRow="0" w:noHBand="0" w:noVBand="1" w:val="04A0"/>
        <w:tblBorders>
          <w:top w:val="single" w:sz="4" w:color="B9C0CE"/>
          <w:left w:val="single" w:sz="4" w:color="B9C0CE"/>
          <w:bottom w:val="single" w:sz="4" w:color="B9C0CE"/>
          <w:right w:val="single" w:sz="4" w:color="B9C0CE"/>
          <w:insideH w:val="single" w:sz="4" w:color="B9C0CE"/>
          <w:insideV w:val="single" w:sz="4" w:color="B9C0CE"/>
        </w:tblBorders>
      </w:tblPr>
      <w:tblGrid>
        <w:gridCol w:w="10080"/>
      </w:tblGrid>
      <w:tr>
        <w:tc>
          <w:tcPr>
            <w:tcW w:type="dxa" w:w="9360"/>
          </w:tcPr>
          <w:p>
            <w:pPr>
              <w:spacing w:before="40" w:after="20"/>
            </w:pPr>
            <w:r>
              <w:rPr>
                <w:rFonts w:ascii="Calibri" w:hAnsi="Calibri"/>
                <w:b/>
                <w:i w:val="0"/>
                <w:color w:val="1F3864"/>
                <w:sz w:val="22"/>
              </w:rPr>
              <w:t xml:space="preserve">4.  </w:t>
            </w:r>
            <w:r>
              <w:rPr>
                <w:rFonts w:ascii="Calibri" w:hAnsi="Calibri"/>
                <w:b/>
                <w:i w:val="0"/>
                <w:color w:val="1A1A1A"/>
                <w:sz w:val="22"/>
              </w:rPr>
              <w:t>Which exercise in this assignment actually turned out to be the hardest to code, and what made it the hardest?</w:t>
            </w:r>
          </w:p>
          <w:p>
            <w:pPr>
              <w:spacing w:after="120"/>
            </w:pPr>
            <w:r>
              <w:rPr>
                <w:rFonts w:ascii="Calibri" w:hAnsi="Calibri"/>
                <w:b/>
                <w:i w:val="0"/>
                <w:color w:val="1F3864"/>
                <w:sz w:val="17"/>
              </w:rPr>
              <w:t>2 points</w:t>
            </w:r>
          </w:p>
          <w:p>
            <w:pPr>
              <w:spacing w:after="40"/>
            </w:pPr>
            <w:r>
              <w:rPr>
                <w:rFonts w:ascii="Calibri" w:hAnsi="Calibri"/>
                <w:b w:val="0"/>
                <w:i/>
                <w:color w:val="5A5A5A"/>
                <w:sz w:val="18"/>
              </w:rPr>
              <w:t>Your answer:</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0" w:after="0"/>
              <w:pBdr>
                <w:bottom w:val="single" w:sz="4" w:space="1" w:color="B9C0CE"/>
              </w:pBdr>
            </w:pPr>
            <w:r>
              <w:rPr>
                <w:rFonts w:ascii="Calibri" w:hAnsi="Calibri"/>
                <w:b w:val="0"/>
                <w:i w:val="0"/>
                <w:color w:val="1A1A1A"/>
                <w:sz w:val="22"/>
              </w:rPr>
              <w:t xml:space="preserve"> </w:t>
            </w:r>
          </w:p>
          <w:p>
            <w:pPr>
              <w:spacing w:before="160" w:after="40"/>
            </w:pPr>
            <w:r>
              <w:rPr>
                <w:rFonts w:ascii="Calibri" w:hAnsi="Calibri"/>
                <w:b/>
                <w:i/>
                <w:color w:val="5A5A5A"/>
                <w:sz w:val="17"/>
              </w:rPr>
              <w:t xml:space="preserve">Example of a full-credit answer: </w:t>
            </w:r>
            <w:r>
              <w:rPr>
                <w:rFonts w:ascii="Calibri" w:hAnsi="Calibri"/>
                <w:b w:val="0"/>
                <w:i/>
                <w:color w:val="5A5A5A"/>
                <w:sz w:val="17"/>
              </w:rPr>
              <w:t>"Exercise 5, the session duration converter, which I had not named. I assumed breaking seconds into hours and minutes was one step, but getting 4503 to come out as 1h 15m 3s meant using // and % against a running remainder, and I had the order wrong twice before it worked."</w:t>
            </w:r>
          </w:p>
          <w:p>
            <w:pPr>
              <w:spacing w:before="120" w:after="40"/>
            </w:pPr>
            <w:r>
              <w:rPr>
                <w:rFonts w:ascii="Calibri" w:hAnsi="Calibri"/>
                <w:b/>
                <w:i w:val="0"/>
                <w:color w:val="7A5300"/>
                <w:sz w:val="17"/>
              </w:rPr>
              <w:t xml:space="preserve">Instructor note (remove before posting to students): </w:t>
            </w:r>
            <w:r>
              <w:rPr>
                <w:rFonts w:ascii="Calibri" w:hAnsi="Calibri"/>
                <w:b w:val="0"/>
                <w:i w:val="0"/>
                <w:color w:val="7A5300"/>
                <w:sz w:val="17"/>
              </w:rPr>
              <w:t>Stage 6 · comprehension monitoring. Neutral by construction: the honest answer may be the exercise from 1.a, the one from 2.a, or a third the student never named — all three are full-credit answers when the reason is specific. Where the answer differs from 1.a, the reason is the valuable part: it is the student's own account of what they could not see before starting, and it is checkable against the code. Never award or withhold credit for whether the original prediction was right; score only the specificity and accuracy of the reason.</w:t>
            </w:r>
          </w:p>
        </w:tc>
      </w:tr>
    </w:tbl>
    <w:p>
      <w:pPr>
        <w:spacing w:after="80"/>
      </w:pPr>
    </w:p>
    <w:p>
      <w:pPr>
        <w:spacing w:before="320" w:after="100"/>
      </w:pPr>
      <w:r>
        <w:rPr>
          <w:rFonts w:ascii="Calibri" w:hAnsi="Calibri"/>
          <w:b/>
          <w:i w:val="0"/>
          <w:color w:val="1F3864"/>
          <w:sz w:val="26"/>
        </w:rPr>
        <w:t>How to Adapt This Template</w:t>
      </w:r>
    </w:p>
    <w:p>
      <w:pPr>
        <w:spacing w:after="60"/>
        <w:ind w:left="317"/>
      </w:pPr>
      <w:r>
        <w:rPr>
          <w:rFonts w:ascii="Calibri" w:hAnsi="Calibri"/>
          <w:b/>
          <w:i w:val="0"/>
          <w:color w:val="1F3864"/>
          <w:sz w:val="19"/>
        </w:rPr>
        <w:t xml:space="preserve">·  </w:t>
      </w:r>
      <w:r>
        <w:rPr>
          <w:rFonts w:ascii="Calibri" w:hAnsi="Calibri"/>
          <w:b w:val="0"/>
          <w:i w:val="0"/>
          <w:color w:val="1A1A1A"/>
          <w:sz w:val="19"/>
        </w:rPr>
        <w:t>All eight entries are required on every assignment, in every unit. What changes per assignment is the worked examples, plus the band noun in 1.b and 2.b.</w:t>
      </w:r>
    </w:p>
    <w:p>
      <w:pPr>
        <w:spacing w:after="60"/>
        <w:ind w:left="317"/>
      </w:pPr>
      <w:r>
        <w:rPr>
          <w:rFonts w:ascii="Calibri" w:hAnsi="Calibri"/>
          <w:b/>
          <w:i w:val="0"/>
          <w:color w:val="1F3864"/>
          <w:sz w:val="19"/>
        </w:rPr>
        <w:t xml:space="preserve">·  </w:t>
      </w:r>
      <w:r>
        <w:rPr>
          <w:rFonts w:ascii="Calibri" w:hAnsi="Calibri"/>
          <w:b w:val="0"/>
          <w:i w:val="0"/>
          <w:color w:val="1A1A1A"/>
          <w:sz w:val="19"/>
        </w:rPr>
        <w:t>Rewrite every example against the assignment being set. The examples are the only signal students get about expected depth now that word caps are gone, so an example carried over from another assignment will mislead them.</w:t>
      </w:r>
    </w:p>
    <w:p>
      <w:pPr>
        <w:spacing w:after="60"/>
        <w:ind w:left="317"/>
      </w:pPr>
      <w:r>
        <w:rPr>
          <w:rFonts w:ascii="Calibri" w:hAnsi="Calibri"/>
          <w:b/>
          <w:i w:val="0"/>
          <w:color w:val="1F3864"/>
          <w:sz w:val="19"/>
        </w:rPr>
        <w:t xml:space="preserve">·  </w:t>
      </w:r>
      <w:r>
        <w:rPr>
          <w:rFonts w:ascii="Calibri" w:hAnsi="Calibri"/>
          <w:b w:val="0"/>
          <w:i w:val="0"/>
          <w:color w:val="1A1A1A"/>
          <w:sz w:val="19"/>
        </w:rPr>
        <w:t>1.b and 2.b are the band-dependent slots — "steps" for Units 1–2, "functions" for Units 3–6, "parts" for Units 7–10.</w:t>
      </w:r>
    </w:p>
    <w:p>
      <w:pPr>
        <w:spacing w:after="60"/>
        <w:ind w:left="317"/>
      </w:pPr>
      <w:r>
        <w:rPr>
          <w:rFonts w:ascii="Calibri" w:hAnsi="Calibri"/>
          <w:b/>
          <w:i w:val="0"/>
          <w:color w:val="1F3864"/>
          <w:sz w:val="19"/>
        </w:rPr>
        <w:t xml:space="preserve">·  </w:t>
      </w:r>
      <w:r>
        <w:rPr>
          <w:rFonts w:ascii="Calibri" w:hAnsi="Calibri"/>
          <w:b w:val="0"/>
          <w:i w:val="0"/>
          <w:color w:val="1A1A1A"/>
          <w:sz w:val="19"/>
        </w:rPr>
        <w:t>No Post-Coding prompt may presuppose an outcome. Each must be fully answerable by a student whose plan held exactly and by one whose plan fell apart. If a revision makes "nothing changed" into a weak answer, the revision is wrong.</w:t>
      </w:r>
    </w:p>
    <w:p>
      <w:pPr>
        <w:spacing w:after="60"/>
        <w:ind w:left="317"/>
      </w:pPr>
      <w:r>
        <w:rPr>
          <w:rFonts w:ascii="Calibri" w:hAnsi="Calibri"/>
          <w:b/>
          <w:i w:val="0"/>
          <w:color w:val="1F3864"/>
          <w:sz w:val="19"/>
        </w:rPr>
        <w:t xml:space="preserve">·  </w:t>
      </w:r>
      <w:r>
        <w:rPr>
          <w:rFonts w:ascii="Calibri" w:hAnsi="Calibri"/>
          <w:b w:val="0"/>
          <w:i w:val="0"/>
          <w:color w:val="1A1A1A"/>
          <w:sz w:val="19"/>
        </w:rPr>
        <w:t>Points: 2 + 3 + 2 + 3 in Pre-Coding, 3 + 3 + 2 + 2 in Post-Coding, 20 total. The 3-point prompts are the ones requiring a list or a step-by-step comparison; the 2-point prompts require a named choice with a reason.</w:t>
      </w:r>
    </w:p>
    <w:p>
      <w:pPr>
        <w:spacing w:after="60"/>
        <w:ind w:left="317"/>
      </w:pPr>
      <w:r>
        <w:rPr>
          <w:rFonts w:ascii="Calibri" w:hAnsi="Calibri"/>
          <w:b/>
          <w:i w:val="0"/>
          <w:color w:val="1F3864"/>
          <w:sz w:val="19"/>
        </w:rPr>
        <w:t xml:space="preserve">·  </w:t>
      </w:r>
      <w:r>
        <w:rPr>
          <w:rFonts w:ascii="Calibri" w:hAnsi="Calibri"/>
          <w:b w:val="0"/>
          <w:i w:val="0"/>
          <w:color w:val="1A1A1A"/>
          <w:sz w:val="19"/>
        </w:rPr>
        <w:t>The template is built around decomposition (research-summary.md, finding 9): 1.b and 2.b cover axis identification, Post-Coding 1 covers relational decomposition — which steps constrain each other's order — Post-Coding 2 covers iterative revision, Post-Coding 3 covers comparative decomposition, and Post-Coding 4 covers retroactive evaluation of the original prediction. Axis evaluation and accept/reject (Rich et al.'s steps 2–3) are still not asked as their own prompt.</w:t>
      </w:r>
    </w:p>
    <w:p>
      <w:pPr>
        <w:spacing w:after="60"/>
        <w:ind w:left="317"/>
      </w:pPr>
      <w:r>
        <w:rPr>
          <w:rFonts w:ascii="Calibri" w:hAnsi="Calibri"/>
          <w:b/>
          <w:i w:val="0"/>
          <w:color w:val="1F3864"/>
          <w:sz w:val="19"/>
        </w:rPr>
        <w:t xml:space="preserve">·  </w:t>
      </w:r>
      <w:r>
        <w:rPr>
          <w:rFonts w:ascii="Calibri" w:hAnsi="Calibri"/>
          <w:b w:val="0"/>
          <w:i w:val="0"/>
          <w:color w:val="1A1A1A"/>
          <w:sz w:val="19"/>
        </w:rPr>
        <w:t>Quotas are met as written: of the eight entries, six are comprehension monitoring or planning (≥4 required), one is process monitoring (≥1 required), and none are self-explanation (≤1 allowed).</w:t>
      </w:r>
    </w:p>
    <w:p>
      <w:pPr>
        <w:spacing w:after="60"/>
        <w:ind w:left="317"/>
      </w:pPr>
      <w:r>
        <w:rPr>
          <w:rFonts w:ascii="Calibri" w:hAnsi="Calibri"/>
          <w:b/>
          <w:i w:val="0"/>
          <w:color w:val="1F3864"/>
          <w:sz w:val="19"/>
        </w:rPr>
        <w:t xml:space="preserve">·  </w:t>
      </w:r>
      <w:r>
        <w:rPr>
          <w:rFonts w:ascii="Calibri" w:hAnsi="Calibri"/>
          <w:b w:val="0"/>
          <w:i w:val="0"/>
          <w:color w:val="1A1A1A"/>
          <w:sz w:val="19"/>
        </w:rPr>
        <w:t>Do not use a "predict the exact output" prompt anywhere in this template, including in a customized version — several assignments state the expected output directly, which makes that prediction either unanswerable or a transcription exercise rather than a real prediction.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