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240" w:line="360" w:lineRule="auto"/>
        <w:jc w:val="center"/>
      </w:pPr>
      <w:r>
        <w:rPr>
          <w:rFonts w:ascii="Times New Roman" w:cs="Times New Roman" w:eastAsia="Times New Roman" w:hAnsi="Times New Roman"/>
          <w:b/>
          <w:bCs/>
          <w:sz w:val="32"/>
          <w:szCs w:val="32"/>
        </w:rPr>
        <w:t xml:space="preserve">3. Эконометрическая методика оценки влияния санкционных шоков на трансформацию бизнес-модели компаний IT-отрасли</w:t>
      </w:r>
    </w:p>
    <w:p>
      <w:pPr>
        <w:pStyle w:val="Heading2"/>
        <w:spacing w:after="200" w:before="360" w:line="360" w:lineRule="auto"/>
        <w:jc w:val="left"/>
      </w:pPr>
      <w:r>
        <w:rPr>
          <w:rFonts w:ascii="Times New Roman" w:cs="Times New Roman" w:eastAsia="Times New Roman" w:hAnsi="Times New Roman"/>
          <w:b/>
          <w:bCs/>
          <w:sz w:val="28"/>
          <w:szCs w:val="28"/>
        </w:rPr>
        <w:t xml:space="preserve">3.1. Концептуальная основа исследования</w:t>
      </w:r>
    </w:p>
    <w:p>
      <w:pPr>
        <w:spacing w:after="160" w:before="0" w:line="360" w:lineRule="auto"/>
        <w:ind w:firstLine="709"/>
        <w:jc w:val="both"/>
      </w:pPr>
      <w:r>
        <w:rPr>
          <w:rFonts w:ascii="Times New Roman" w:cs="Times New Roman" w:eastAsia="Times New Roman" w:hAnsi="Times New Roman"/>
          <w:sz w:val="28"/>
          <w:szCs w:val="28"/>
        </w:rPr>
        <w:t xml:space="preserve">Санкционное давление, введённое в отношении Российской Федерации начиная с 2022 г., представляет собой один из наиболее масштабных внешних шоков в новейшей экономической истории страны: к середине 2024 г. совокупное число санкционных мер превысило 16 000, что делает Россию наиболее санкционируемой юрисдикцией в современной практике применения ограничительных мер (Hufbauer, Schott, Elliott, Oegg, 2007). Основной массив академических исследований, посвящённых экономическим последствиям санкций, традиционно сосредоточен на макроэкономическом уровне анализа — воздействии ограничений на валовой внутренний продукт, внешнюю торговлю, валютный курс и параметры государственного бюджета (Neuenkirch, Neumeier, 2015; Felbermayr, Kirilakha, Syropoulos, Yalcin, Yotov, 2020). Микроэкономический уровень, а именно поведение отдельных компаний и трансформация их бизнес-моделей в ответ на санкционное давление, остаётся существенно менее изученным, несмотря на появление в последние годы отдельных работ, анализирующих финансовую результативность и стратегии адаптации российских компаний к режиму 2022 г. (Ahn, Ludema, 2020; Huynh, Hoang, Ongena, 2022; Kuzyk, Simachev, 2023; Dobrynina, Grishunin, 2025; Lee, Kumo, 2025).</w:t>
      </w:r>
    </w:p>
    <w:p>
      <w:pPr>
        <w:spacing w:after="160" w:before="0" w:line="360" w:lineRule="auto"/>
        <w:ind w:firstLine="709"/>
        <w:jc w:val="both"/>
      </w:pPr>
      <w:r>
        <w:rPr>
          <w:rFonts w:ascii="Times New Roman" w:cs="Times New Roman" w:eastAsia="Times New Roman" w:hAnsi="Times New Roman"/>
          <w:sz w:val="28"/>
          <w:szCs w:val="28"/>
        </w:rPr>
        <w:t xml:space="preserve">Объектом настоящего исследования выступает не финансовый эффект санкций как таковой — то есть не снижение выручки, прибыли или рыночной капитализации, что составляет предмет большинства существующих firm-level работ, — а структурная адаптация бизнес-модели компании: качественное и количественное изменение способа создания, поставки и присвоения ценности в ответ на резкое, экзогенное по отношению к решениям менеджмента изменение внешних ограничений. Финансовые показатели в разработанной методике выступают не итоговой зависимой переменной, а частично — компонентами операционализации отдельных элементов бизнес-модели, частично — контрольными переменными. Предметом исследования является причинное воздействие интенсивности санкционной экспозиции компании на величину и характер изменения индекса трансформации её бизнес-модели, измеренное в рамках панельного и квазиэкспериментального дизайна за период 2019–2024 гг.</w:t>
      </w:r>
    </w:p>
    <w:p>
      <w:pPr>
        <w:spacing w:after="160" w:before="0" w:line="360" w:lineRule="auto"/>
        <w:ind w:firstLine="709"/>
        <w:jc w:val="both"/>
      </w:pPr>
      <w:r>
        <w:rPr>
          <w:rFonts w:ascii="Times New Roman" w:cs="Times New Roman" w:eastAsia="Times New Roman" w:hAnsi="Times New Roman"/>
          <w:sz w:val="28"/>
          <w:szCs w:val="28"/>
        </w:rPr>
        <w:t xml:space="preserve">Выбор IT-отрасли в качестве эмпирического поля обусловлен сочетанием трёх обстоятельств, совместное наступление которых для российской экономики является скорее исключением, чем правилом. Во-первых, отрасль получила один из наиболее концентрированных ударов: уход поставщиков лицензионного программного обеспечения и облачной инфраструктуры (SAP, Oracle, Microsoft, Cisco, AWS, Google Cloud), ограничения на экспорт полупроводников и блокировка доступа к зарубежным репозиториям затронули практически весь технологический стек отрасли одновременно. Во-вторых, реакция компаний на этот шок оказалась выраженно неоднородной: часть компаний утратила значительную долю операционной деятельности, тогда как другая часть — в первую очередь разработчики решений в области кибербезопасности и отечественного программного обеспечения — существенно расширила присутствие на рынке за счёт доли, освобождённой ушедшими конкурентами. Данная неоднородность образует необходимую для эконометрического анализа вариацию зависимой переменной: без такой вариации содержательная оценка модели невозможна. В-третьих, отрасль сравнительно хорошо обеспечена данными: часть компаний является публичными эмитентами, раскрывающими консолидированную отчётность по МСФО за период, включающий как до-, так и постсанкционные годы, а Реестр аккредитованных IT-организаций Министерства цифрового развития, ежегодные отраслевые обзоры РУССОФТ и АПКИТ расширяют информационную базу за пределы узкого круга публичных компаний.</w:t>
      </w:r>
    </w:p>
    <w:p>
      <w:pPr>
        <w:spacing w:after="160" w:before="0" w:line="360" w:lineRule="auto"/>
        <w:ind w:firstLine="709"/>
        <w:jc w:val="both"/>
      </w:pPr>
      <w:r>
        <w:rPr>
          <w:rFonts w:ascii="Times New Roman" w:cs="Times New Roman" w:eastAsia="Times New Roman" w:hAnsi="Times New Roman"/>
          <w:sz w:val="28"/>
          <w:szCs w:val="28"/>
        </w:rPr>
        <w:t xml:space="preserve">Санкционный шок применительно к отдельной компании понимается в настоящей методике не как факт введения санкций в качестве макрособытия — это обстоятельство одинаково для всех единиц наблюдения и потому само по себе не образует объясняющей переменной, — а как резкое, экзогенное для конкретной фирмы изменение доступности внешних ресурсов, рынков сбыта и источников финансирования, интенсивность которого определяется предшествовавшей шоку структурой связей компании с иностранными партнёрами, поставщиками, клиентами и инвесторами. Именно это отличает предлагаемый дизайн от макроэкономических работ о санкциях: единицей анализа выступает фирма, а не страна, а вариация идентифицируется не во времени относительно внешнего мира, а между фирмами при общем для всех временном шоке.</w:t>
      </w:r>
    </w:p>
    <w:p>
      <w:pPr>
        <w:spacing w:after="160" w:before="0" w:line="360" w:lineRule="auto"/>
        <w:ind w:firstLine="709"/>
        <w:jc w:val="both"/>
      </w:pPr>
      <w:r>
        <w:rPr>
          <w:rFonts w:ascii="Times New Roman" w:cs="Times New Roman" w:eastAsia="Times New Roman" w:hAnsi="Times New Roman"/>
          <w:sz w:val="28"/>
          <w:szCs w:val="28"/>
        </w:rPr>
        <w:t xml:space="preserve">Трансформация бизнес-модели определяется путём синтеза трёх взаимодополняющих теоретических традиций. Операциональная ясность подхода Остервальдера и Пинье, представляющих бизнес-модель как логику того, каким образом организация создаёт, доставляет и присваивает ценность, реализованную в девяти взаимосвязанных структурных блоках (Osterwalder, Pigneur, 2010), обеспечивает возможность количественного измерения. Стратегическая трактовка Тиса, связывающая бизнес-модель с логикой, данными и свидетельствами, обосновывающими ценностное предложение и жизнеспособную структуру доходов и затрат компании (Teece, 2010), задаёт связь с теорией динамических способностей и, тем самым, с механизмом адаптации к внешнему шоку. Системный взгляд Зотт, Амита и Массы, определяющих бизнес-модель как систему взаимозависимых видов деятельности, выходящую за пределы границ фирмы (Zott, Amit, Massa, 2011), обосновывает необходимость составного, а не единичного индикатора трансформации: если элементы бизнес-модели взаимозависимы, изменение одного из них — например, ухода компании с международных рынков — статистически и содержательно связано с изменениями в других элементах, в частности со структурой доходов и кадровых ресурсов, вследствие чего однопоказательная зависимая переменная не способна отразить системный характер адаптации. Операционализация бизнес-модели опирается на отчётность и публичное раскрытие компании, а не на декларируемые стратегические намерения, что соответствует пониманию бизнес-модели как отражения реализованной, а не заявленной стратегии (Casadesus-Masanell, Ricart, 2010).</w:t>
      </w:r>
    </w:p>
    <w:p>
      <w:pPr>
        <w:pStyle w:val="Heading2"/>
        <w:spacing w:after="200" w:before="360" w:line="360" w:lineRule="auto"/>
        <w:jc w:val="left"/>
      </w:pPr>
      <w:r>
        <w:rPr>
          <w:rFonts w:ascii="Times New Roman" w:cs="Times New Roman" w:eastAsia="Times New Roman" w:hAnsi="Times New Roman"/>
          <w:b/>
          <w:bCs/>
          <w:sz w:val="28"/>
          <w:szCs w:val="28"/>
        </w:rPr>
        <w:t xml:space="preserve">3.2. Теоретическое обоснование механизма воздействия санкционного шока</w:t>
      </w:r>
    </w:p>
    <w:p>
      <w:pPr>
        <w:spacing w:after="160" w:before="0" w:line="360" w:lineRule="auto"/>
        <w:ind w:firstLine="709"/>
        <w:jc w:val="both"/>
      </w:pPr>
      <w:r>
        <w:rPr>
          <w:rFonts w:ascii="Times New Roman" w:cs="Times New Roman" w:eastAsia="Times New Roman" w:hAnsi="Times New Roman"/>
          <w:sz w:val="28"/>
          <w:szCs w:val="28"/>
        </w:rPr>
        <w:t xml:space="preserve">Теоретическим основанием, связывающим интенсивность санкционной экспозиции компании с последующей трансформацией её бизнес-модели, выступает концепция динамических способностей (dynamic capabilities). Тис, Пизано и Шуен определяют динамические способности как способность фирмы интегрировать, выстраивать и реконфигурировать внутренние и внешние компетенции в ответ на быстро меняющуюся среду, подчёркивая, что конкурентное преимущество компании основывается на особых процессах координации и комбинирования ресурсов, сформированных специфическими активами фирмы и доступными ей траекториями развития (Teece, Pisano, Shuen, 1997). Санкционный шок в данной теоретической рамке выступает экзогенным триггером, требующим от компании реконфигурации ресурсной базы — одной из трёх канонических микрооснóв динамических способностей наряду со sensing (распознаванием возможностей и угроз) и seizing (их использованием). Существенно, что литература о динамических способностях традиционно анализирует технологические и рыночные шоки в целом, не рассматривая санкционные ограничения как самостоятельный класс внешнего воздействия, отличающийся от прочих шоков дискретностью, юридической оформленностью и разнородностью составляющих его компонентов — торговых, финансовых и технологических ограничений. Перенос рамки динамических способностей на данный специфический случай образует теоретическое ядро настоящей методики.</w:t>
      </w:r>
    </w:p>
    <w:p>
      <w:pPr>
        <w:spacing w:after="160" w:before="0" w:line="360" w:lineRule="auto"/>
        <w:ind w:firstLine="709"/>
        <w:jc w:val="both"/>
      </w:pPr>
      <w:r>
        <w:rPr>
          <w:rFonts w:ascii="Times New Roman" w:cs="Times New Roman" w:eastAsia="Times New Roman" w:hAnsi="Times New Roman"/>
          <w:sz w:val="28"/>
          <w:szCs w:val="28"/>
        </w:rPr>
        <w:t xml:space="preserve">Причинная цепочка, связывающая шок с наблюдаемым исходом, формулируется следующим образом: санкционный шок, общий по времени наступления для всех компаний выборки и датированный 2022 г., порождает дифференцированную по фирмам исходную экспозицию, определяемую структурой их предшоковых связей с западными партнёрами, рынками и источниками финансирования; различие в экспозиции определяет разную по величине потерю доступа к ресурсам, рынкам сбыта и партнёрам; утрата доступа вынуждает компанию к реконфигурации ресурсной базы, партнёрской сети, продуктового портфеля и структуры издержек; реконфигурация проявляется в наблюдаемом изменении элементов бизнес-модели, агрегированное отражение которого образует итоговый индекс трансформации.</w:t>
      </w:r>
    </w:p>
    <w:p>
      <w:pPr>
        <w:spacing w:after="160" w:before="0" w:line="360" w:lineRule="auto"/>
        <w:ind w:firstLine="709"/>
        <w:jc w:val="both"/>
      </w:pPr>
      <w:r>
        <w:rPr>
          <w:rFonts w:ascii="Times New Roman" w:cs="Times New Roman" w:eastAsia="Times New Roman" w:hAnsi="Times New Roman"/>
          <w:sz w:val="28"/>
          <w:szCs w:val="28"/>
        </w:rPr>
        <w:t xml:space="preserve">Механизм воздействия конкретизируется на уровне отдельных структурных блоков бизнес-модели. Утрата доступа к лицензионному программному обеспечению, облачной инфраструктуре и экспортируемым технологическим компонентам напрямую обесценивает часть технологических активов компании и повышает относительную ценность альтернативных ресурсов, прежде всего кадрового капитала, способного к самостоятельной разработке замещающих решений, что в терминологии Тиса, Пизано и Шуена соответствует смещению ценности специфических активов фирмы (asset specificity) в сторону активов, поддерживающих автономную разработку. Одновременно уход значительной части иностранных конкурентов формирует встречное давление — возможность расширения продуктовой линейки и клиентской базы за счёт освободившейся рыночной ниши, что делает направление итогового изменения бизнес-модели заранее не определённым и подлежащим эмпирической, а не априорной оценке. Полная операционализация данного механизма по каждому из девяти структурных блоков канвы Остервальдера и Пинье, включая указание наблюдаемого индикатора и источника данных, представлена в разделе 3.4 (таблица 3.2).</w:t>
      </w:r>
    </w:p>
    <w:p>
      <w:pPr>
        <w:spacing w:after="160" w:before="0" w:line="360" w:lineRule="auto"/>
        <w:ind w:firstLine="709"/>
        <w:jc w:val="both"/>
      </w:pPr>
      <w:r>
        <w:rPr>
          <w:rFonts w:ascii="Times New Roman" w:cs="Times New Roman" w:eastAsia="Times New Roman" w:hAnsi="Times New Roman"/>
          <w:sz w:val="28"/>
          <w:szCs w:val="28"/>
        </w:rPr>
        <w:t xml:space="preserve">Существенным для последующей идентификационной стратегии является различие в скорости адаптации отдельных каналов воздействия: замещение программного обеспечения достижимо посредством миграции на альтернативный технологический стек в течение нескольких месяцев, тогда как выстраивание альтернативных логистических цепочек поставки оборудования представляет собой процесс, растянутый на годы вследствие физических, а не только контрактных ограничений. Данное различие образует теоретическое основание гипотезы о лаговом характере эффекта (раздел 3.8) и обосновывает необходимость динамической, а не статичной эконометрической спецификации.</w:t>
      </w:r>
    </w:p>
    <w:p>
      <w:pPr>
        <w:spacing w:after="160" w:before="0" w:line="360" w:lineRule="auto"/>
        <w:ind w:firstLine="709"/>
        <w:jc w:val="both"/>
      </w:pPr>
      <w:r>
        <w:rPr>
          <w:rFonts w:ascii="Times New Roman" w:cs="Times New Roman" w:eastAsia="Times New Roman" w:hAnsi="Times New Roman"/>
          <w:sz w:val="28"/>
          <w:szCs w:val="28"/>
        </w:rPr>
        <w:t xml:space="preserve">На основании изложенного теоретического механизма формулируется система эконометрических гипотез, каждая из которых сопровождается указанием теоретического основания, содержательного экономического механизма и способа эмпирической проверки (таблица 3.5).</w:t>
      </w:r>
    </w:p>
    <w:p>
      <w:pPr>
        <w:spacing w:after="160" w:before="0" w:line="360" w:lineRule="auto"/>
        <w:ind w:firstLine="709"/>
        <w:jc w:val="both"/>
      </w:pPr>
      <w:r>
        <w:rPr>
          <w:rFonts w:ascii="Times New Roman" w:cs="Times New Roman" w:eastAsia="Times New Roman" w:hAnsi="Times New Roman"/>
          <w:sz w:val="28"/>
          <w:szCs w:val="28"/>
        </w:rPr>
        <w:t xml:space="preserve">Основная гипотеза исследования (H1) состоит в том, что чем выше предсанкционная санкционная экспозиция компании, тем больше по абсолютной величине изменение индекса трансформации её бизнес-модели после шока 2022 г. Теоретическим основанием гипотезы выступает прямое следствие логики динамических способностей: более высокая экспозиция означает большую величину утраченных ресурсов, рынков и источников финансирования, что требует более масштабной реконфигурации. Эмпирически гипотеза проверяется по знаку и статистической значимости коэффициента при взаимодействии предсанкционного индекса санкционной экспозиции и индикатора постшокового периода в спецификациях раздела 3.7.</w:t>
      </w:r>
    </w:p>
    <w:p>
      <w:pPr>
        <w:spacing w:after="160" w:before="0" w:line="360" w:lineRule="auto"/>
        <w:ind w:firstLine="709"/>
        <w:jc w:val="both"/>
      </w:pPr>
      <w:r>
        <w:rPr>
          <w:rFonts w:ascii="Times New Roman" w:cs="Times New Roman" w:eastAsia="Times New Roman" w:hAnsi="Times New Roman"/>
          <w:sz w:val="28"/>
          <w:szCs w:val="28"/>
        </w:rPr>
        <w:t xml:space="preserve">Гипотеза о гетерогенности эффекта по уровню цифрового потенциала компании (H2) заслуживает отдельного методологического комментария, поскольку направление ожидаемого эффекта не задаётся теорией однозначно. Возможны два конкурирующих механизма: с одной стороны, высокий исходный технологический потенциал способен снижать предельные издержки адаптации, что означает более быструю, но не обязательно более масштабную по итоговому индексу трансформацию (логика субституции); с другой стороны, тот же технологический потенциал может обеспечивать организационный слэк, необходимый для глубокой, а не только косметической реконфигурации (логика комплементарности). Вопрос о том, какой из двух механизмов доминирует эмпирически, не предрешается теоретически и составляет самостоятельный содержательный результат раздела 3.10.</w:t>
      </w:r>
    </w:p>
    <w:p>
      <w:pPr>
        <w:spacing w:after="160" w:before="0" w:line="360" w:lineRule="auto"/>
        <w:ind w:firstLine="709"/>
        <w:jc w:val="both"/>
      </w:pPr>
      <w:r>
        <w:rPr>
          <w:rFonts w:ascii="Times New Roman" w:cs="Times New Roman" w:eastAsia="Times New Roman" w:hAnsi="Times New Roman"/>
          <w:sz w:val="28"/>
          <w:szCs w:val="28"/>
        </w:rPr>
        <w:t xml:space="preserve">Гипотеза о лаговом характере эффекта (H3) состоит в том, что воздействие санкционного шока на бизнес-модель проявляется не мгновенно, а с временным лагом, нарастающим на протяжении нескольких периодов после шока, что обусловлено издержками корректировки (adjustment costs) и зависимостью организационных процессов от предшествующей траектории развития (path dependency), присущими самой природе динамических способностей (Teece, Pisano, Shuen, 1997; Teece, 2010). Проверка гипотезы опирается на динамику коэффициентов при лидах и лагах в спецификации раздела 3.8.</w:t>
      </w:r>
    </w:p>
    <w:p>
      <w:pPr>
        <w:spacing w:after="160" w:before="0" w:line="360" w:lineRule="auto"/>
        <w:ind w:firstLine="709"/>
        <w:jc w:val="both"/>
      </w:pPr>
      <w:r>
        <w:rPr>
          <w:rFonts w:ascii="Times New Roman" w:cs="Times New Roman" w:eastAsia="Times New Roman" w:hAnsi="Times New Roman"/>
          <w:sz w:val="28"/>
          <w:szCs w:val="28"/>
        </w:rPr>
        <w:t xml:space="preserve">Гипотеза о нелинейности воздействия (H4) состоит в том, что зависимость трансформации бизнес-модели от интенсивности санкционного давления нелинейна: при умеренной экспозиции преобладает точечная, косметическая адаптация в рамках существующей бизнес-логики, тогда как при превышении критического уровня давления происходит качественно более глубокая структурная перестройка. Содержательным основанием гипотезы выступает соотношение издержек и выгод реконфигурации: ниже определённого порога издержки глубокой перестройки бизнес-логики превышают выгоды точечной адаптации, тогда как выше порога соотношение меняется на обратное. Проверка гипотезы производится методом пороговой регрессии (раздел 3.9) при обязательной оговорке об ограниченной статистической мощности теста в условиях реалистичного объёма выборки.</w:t>
      </w:r>
    </w:p>
    <w:p>
      <w:pPr>
        <w:spacing w:after="160" w:before="0" w:line="360" w:lineRule="auto"/>
        <w:ind w:firstLine="709"/>
        <w:jc w:val="both"/>
      </w:pPr>
      <w:r>
        <w:rPr>
          <w:rFonts w:ascii="Times New Roman" w:cs="Times New Roman" w:eastAsia="Times New Roman" w:hAnsi="Times New Roman"/>
          <w:sz w:val="28"/>
          <w:szCs w:val="28"/>
        </w:rPr>
        <w:t xml:space="preserve">Дополнительная гипотеза о вероятности выбывания компании из выборки (H5) состоит в том, что вероятность прекращения публичного раскрытия отчётности, банкротства или продажи бизнеса положительно связана с предсанкционным уровнем санкционной экспозиции компании. Гипотеза формализует условие, при котором выборка, используемая для проверки гипотез H1–H4, может оказаться смещённой по отбору: компании с максимальной экспозицией, не выдержавшие шок, не попадают в панель наблюдаемых траекторий трансформации, что связывает содержательные гипотезы исследования с угрозами идентификации, рассматриваемыми в разделе 3.11.5, и подчёркивает системный, а не аддитивный характер разработанной методики.</w:t>
      </w:r>
    </w:p>
    <w:p>
      <w:pPr>
        <w:spacing w:after="120" w:before="240"/>
        <w:jc w:val="left"/>
      </w:pPr>
      <w:r>
        <w:rPr>
          <w:rFonts w:ascii="Times New Roman" w:cs="Times New Roman" w:eastAsia="Times New Roman" w:hAnsi="Times New Roman"/>
          <w:sz w:val="28"/>
          <w:szCs w:val="28"/>
        </w:rPr>
        <w:t xml:space="preserve">Таблица 3.5 — Система исследовательских гипотез</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655"/>
        <w:gridCol w:w="2526"/>
        <w:gridCol w:w="2245"/>
        <w:gridCol w:w="1590"/>
        <w:gridCol w:w="2339"/>
      </w:tblGrid>
      <w:tr>
        <w:trPr>
          <w:tblHeader/>
        </w:trPr>
        <w:tc>
          <w:tcPr>
            <w:tcW w:type="dxa" w:w="655"/>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Гипотеза</w:t>
            </w:r>
          </w:p>
        </w:tc>
        <w:tc>
          <w:tcPr>
            <w:tcW w:type="dxa" w:w="252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Теоретическое основание</w:t>
            </w:r>
          </w:p>
        </w:tc>
        <w:tc>
          <w:tcPr>
            <w:tcW w:type="dxa" w:w="2245"/>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Эконометрическая модель</w:t>
            </w:r>
          </w:p>
        </w:tc>
        <w:tc>
          <w:tcPr>
            <w:tcW w:type="dxa" w:w="1590"/>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Коэффициент интереса</w:t>
            </w:r>
          </w:p>
        </w:tc>
        <w:tc>
          <w:tcPr>
            <w:tcW w:type="dxa" w:w="2339"/>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Ожидаемый результат</w:t>
            </w:r>
          </w:p>
        </w:tc>
      </w:tr>
      <w:tr>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H1</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Динамические способности (Teece, Pisano, Shuen, 1997): выше экспозиция — масштабнее вынужденная реконфигурация ресурсной базы</w:t>
            </w:r>
          </w:p>
        </w:tc>
        <w:tc>
          <w:tcPr>
            <w:tcW w:type="dxa" w:w="224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Основная DiD-спецификация, раздел 3.7 (формула 3.4)</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при </w:t>
            </w: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Post</w:t>
            </w:r>
            <w:r>
              <w:rPr>
                <w:rFonts w:ascii="Times New Roman" w:cs="Times New Roman" w:eastAsia="Times New Roman" w:hAnsi="Times New Roman"/>
                <w:sz w:val="24"/>
                <w:szCs w:val="24"/>
                <w:vertAlign w:val="subscript"/>
              </w:rPr>
              <w:t xml:space="preserve">t</w:t>
            </w:r>
          </w:p>
        </w:tc>
        <w:tc>
          <w:tcPr>
            <w:tcW w:type="dxa" w:w="233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&gt; 0, статистически значим</w:t>
            </w:r>
          </w:p>
        </w:tc>
      </w:tr>
      <w:tr>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H2</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Два конкурирующих механизма: субституция (снижение предельных издержек адаптации) vs комплементарность (организационный слэк для глубокой реконфигурации)</w:t>
            </w:r>
          </w:p>
        </w:tc>
        <w:tc>
          <w:tcPr>
            <w:tcW w:type="dxa" w:w="224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Спецификация с тройным взаимодействием, раздел 3.6 (формула 3.3)</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при </w:t>
            </w: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Digital</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Post</w:t>
            </w:r>
            <w:r>
              <w:rPr>
                <w:rFonts w:ascii="Times New Roman" w:cs="Times New Roman" w:eastAsia="Times New Roman" w:hAnsi="Times New Roman"/>
                <w:sz w:val="24"/>
                <w:szCs w:val="24"/>
                <w:vertAlign w:val="subscript"/>
              </w:rPr>
              <w:t xml:space="preserve">t</w:t>
            </w:r>
          </w:p>
        </w:tc>
        <w:tc>
          <w:tcPr>
            <w:tcW w:type="dxa" w:w="233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Знак не определён теоретически; подлежит эмпирической проверке</w:t>
            </w:r>
          </w:p>
        </w:tc>
      </w:tr>
      <w:tr>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H3</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Издержки корректировки и path dependency организационных процессов (Teece, Pisano, Shuen, 1997; Teece, 2010)</w:t>
            </w:r>
          </w:p>
        </w:tc>
        <w:tc>
          <w:tcPr>
            <w:tcW w:type="dxa" w:w="224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Динамическая event-study спецификация, раздел 3.8 (формула 3.6)</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Профиль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по лагам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0, 1, 2</w:t>
            </w:r>
          </w:p>
        </w:tc>
        <w:tc>
          <w:tcPr>
            <w:tcW w:type="dxa" w:w="233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Нарастающая по годам динамика: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w:t>
            </w:r>
          </w:p>
        </w:tc>
      </w:tr>
      <w:tr>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H4</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Соотношение издержек и выгод реконфигурации: качественный переход при превышении критического уровня давления</w:t>
            </w:r>
          </w:p>
        </w:tc>
        <w:tc>
          <w:tcPr>
            <w:tcW w:type="dxa" w:w="224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Пороговая регрессия Хансена, раздел 3.9 (формула 3.7)</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Пороговый параметр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и различие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2</w:t>
            </w:r>
          </w:p>
        </w:tc>
        <w:tc>
          <w:tcPr>
            <w:tcW w:type="dxa" w:w="233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Статистически значимый порог;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&gt;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по модулю</w:t>
            </w:r>
          </w:p>
        </w:tc>
      </w:tr>
      <w:tr>
        <w:tc>
          <w:tcPr>
            <w:tcW w:type="dxa" w:w="65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H5</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При экстремальной экспозиции издержки адаптации превышают ресурсные возможности фирмы, что ведёт к уходу с рынка, а не к трансформации</w:t>
            </w:r>
          </w:p>
        </w:tc>
        <w:tc>
          <w:tcPr>
            <w:tcW w:type="dxa" w:w="2245"/>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Probit/Logit-модель выбывания, раздел 3.11.5 (формула 3.9)</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при </w:t>
            </w: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p>
        </w:tc>
        <w:tc>
          <w:tcPr>
            <w:tcW w:type="dxa" w:w="233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&gt; 0, статистически значим</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pStyle w:val="Heading2"/>
        <w:spacing w:after="200" w:before="360" w:line="360" w:lineRule="auto"/>
        <w:jc w:val="left"/>
      </w:pPr>
      <w:r>
        <w:rPr>
          <w:rFonts w:ascii="Times New Roman" w:cs="Times New Roman" w:eastAsia="Times New Roman" w:hAnsi="Times New Roman"/>
          <w:b/>
          <w:bCs/>
          <w:sz w:val="28"/>
          <w:szCs w:val="28"/>
        </w:rPr>
        <w:t xml:space="preserve">3.3. Формирование индекса санкционной экспозиции компании</w:t>
      </w:r>
    </w:p>
    <w:p>
      <w:pPr>
        <w:spacing w:after="160" w:before="0" w:line="360" w:lineRule="auto"/>
        <w:ind w:firstLine="709"/>
        <w:jc w:val="both"/>
      </w:pPr>
      <w:r>
        <w:rPr>
          <w:rFonts w:ascii="Times New Roman" w:cs="Times New Roman" w:eastAsia="Times New Roman" w:hAnsi="Times New Roman"/>
          <w:sz w:val="28"/>
          <w:szCs w:val="28"/>
        </w:rPr>
        <w:t xml:space="preserve">Измерение интенсивности санкционного воздействия на отдельную компанию не может быть выполнено средствами бинарной переменной, фиксирующей лишь факт принадлежности фирмы к санкционируемой юрисдикции. Такая переменная одинакова для всех компаний выборки, тогда как содержательным предметом исследования выступает именно неоднородность воздействия: часть российских IT-компаний была интегрирована в западные технологические, рыночные и финансовые контуры существенно глубже других, и данное различие, а не факт российской юрисдикции как таковой, определяет наблюдаемую вариацию в масштабе последующей трансформации бизнес-модели. По этой причине основным инструментом измерения выступает индекс санкционной экспозиции компании (ИСЭК) — непрерывная, а не бинарная мера, позволяющая проверить не только наличие эффекта, но и его нелинейность (гипотеза H4), что для бинарной переменной эконометрически невозможно.</w:t>
      </w:r>
    </w:p>
    <w:p>
      <w:pPr>
        <w:spacing w:after="160" w:before="0" w:line="360" w:lineRule="auto"/>
        <w:ind w:firstLine="709"/>
        <w:jc w:val="both"/>
      </w:pPr>
      <w:r>
        <w:rPr>
          <w:rFonts w:ascii="Times New Roman" w:cs="Times New Roman" w:eastAsia="Times New Roman" w:hAnsi="Times New Roman"/>
          <w:sz w:val="28"/>
          <w:szCs w:val="28"/>
        </w:rPr>
        <w:t xml:space="preserve">Структура индекса опирается на классическую типологию видов санкций — торговых, финансовых и технологических — заимствованную из монографии Хафбауэра, Шотта, Эллиотт и Оегг, проанализировавших 204 санкционных эпизода начиная с 1914 г. (Hufbauer, Schott, Elliott, Oegg, 2007), и систематизированную впоследствии в Global Sanctions Data Base (Felbermayr, Kirilakha, Syropoulos, Yalcin, Yotov, 2020; Yalcin, Felbermayr, Kariem, Kirilakha, Kwon, Syropoulos, Yotov, 2025). Применительно к отдельной фирме данная типология операционализируется через три субиндекса, каждый из которых отражает содержательно различимый, невзаимозаменяемый канал передачи шока: технологическая экспозиция — долю затрат на западное лицензионное программное обеспечение, платформы разработки и облачную инфраструктуру в операционных издержках компании, отражающую канал входов производства; рыночная экспозиция — долю выручки, полученной от клиентов из юрисдикций, впоследствии присоединившихся к санкционному режиму, отражающую канал спроса; финансовая экспозиция — долю заёмного и долевого финансирования, привлечённого от иностранных институциональных инвесторов и кредиторов, отражающую канал стоимости капитала. Дополнительно вводится бинарный индикатор прямой санкционной адресности, фиксирующий включение компании или её бенефициаров непосредственно в санкционные списки (SDN List Управления по контролю за иностранными активами Министерства финансов США, Consolidated List Европейского союза): в отличие от структурной экспозиции, отражающей уязвимость бизнес-модели к чужим ограничениям, данный индикатор отражает собственное включение фирмы в перечень объектов ограничений — качественно иной по природе механизм воздействия, смешение которого со структурной экспозицией в едином индексе затруднило бы содержательную интерпретацию итогового коэффициента.</w:t>
      </w:r>
    </w:p>
    <w:p>
      <w:pPr>
        <w:spacing w:after="160" w:before="0" w:line="360" w:lineRule="auto"/>
        <w:ind w:firstLine="709"/>
        <w:jc w:val="both"/>
      </w:pPr>
      <w:r>
        <w:rPr>
          <w:rFonts w:ascii="Times New Roman" w:cs="Times New Roman" w:eastAsia="Times New Roman" w:hAnsi="Times New Roman"/>
          <w:sz w:val="28"/>
          <w:szCs w:val="28"/>
        </w:rPr>
        <w:t xml:space="preserve">Центральным методологическим решением, определяющим пригодность индекса для причинного анализа, выступает выбор момента его измерения. Все три компонента индекса санкционной экспозиции рассчитываются исключительно по предсанкционным данным — за период 2019–2021 гг., в базовой спецификации как среднее за три года для сглаживания годовых колебаний, — и образуют, тем самым, не изменяющуюся во времени (time-invariant) характеристику фирмы, зафиксированную на момент наступления шока. Обоснование данного решения носит не технический, а содержательный характер. Если бы технологическая, рыночная и финансовая экспозиция измерялись одновременно с зависимой переменной, то есть по данным 2022–2024 гг., показатель оказался бы постобработанной (post-treatment) переменной: доля выручки от западных клиентов, зафиксированная, например, в 2023 г., уже отражала бы произошедший уход с рынков — то есть частично являлась бы следствием трансформации бизнес-модели, а не её независимой причиной. Использование подобной переменной в качестве ключевого регрессора образует классическую проблему «плохого контроля» (bad control problem): оцениваемый коэффициент в этом случае отражает не влияние санкционного шока на трансформацию, а частично обратную связь «трансформация → наблюдаемая экспозиция», что обесценивает содержательную интерпретацию оценки (Wooldridge, 2010; Angrist, Pischke, 2009). Предсанкционная, неизменная во времени конструкция индекса, напротив, переводит его из категории «текущего состояния» в категорию предопределённой (predetermined) интенсивности потенциального воздействия — величины, сложившейся до наступления шока и по построению не способной являться результатом последующей адаптации. Данная логика прямо соответствует практике построения экспозиции по типу «shift-share» (Bartik-экспозиции), где интенсивность воздействия агрегированного шока на единицу наблюдения конструируется через её предшоковую структурную характеристику (Goldsmith-Pinkham, Sorkin, Swift, 2020), и согласуется с практикой взвешивания экспозиции по предшоковым торговым и финансовым долям в исследованиях эффектов санкций и торговых ограничений на уровне фирм (Crozet, Hinz, 2020; Besedeš, Goldbach, Nitsch, 2021; Ahn, Ludema, 2020). Использование постсанкционных значений экспозиции в качестве ключевого регрессора, соответственно, исключается из методики не как менее удобный, а как методологически некорректный вариант; time-varying индикатор «остаточной» экспозиции сохраняется исключительно в дескриптивных целях — для прослеживания фактической скорости и глубины замещения западных технологий — и не используется в спецификациях, направленных на причинную оценку.</w:t>
      </w:r>
    </w:p>
    <w:p>
      <w:pPr>
        <w:spacing w:after="160" w:before="0" w:line="360" w:lineRule="auto"/>
        <w:ind w:firstLine="709"/>
        <w:jc w:val="both"/>
      </w:pPr>
      <w:r>
        <w:rPr>
          <w:rFonts w:ascii="Times New Roman" w:cs="Times New Roman" w:eastAsia="Times New Roman" w:hAnsi="Times New Roman"/>
          <w:sz w:val="28"/>
          <w:szCs w:val="28"/>
        </w:rPr>
        <w:t xml:space="preserve">Компоненты индекса приводятся к сопоставимой шкале методом min-max нормализации в границах выборки и агрегируются с равными весами, что обеспечивает максимальную прозрачность конструкции и полную воспроизводимость результата независимым исследователем без дополнительных предпосылок о относительной важности каналов воздействия. Метод главных компонент применяется не как альтернативный способ агрегирования, а как диагностический инструмент, позволяющий проверить проблему двойного счёта: поскольку компании с высокой технологической зависимостью от западных решений могли одновременно иметь более широкий доступ к западному финансированию как часть общей стратегии интеграции в глобальные рынки капитала, компоненты индекса потенциально коррелированы. Если первая главная компонента объясняет непропорционально высокую долю совокупной дисперсии, а все три компонента нагружены на неё с сопоставимым по величине и одним знаком коэффициентом, это свидетельствует о наличии общего латентного фактора «степень предшоковой интеграции в западную экономику» и образует основание для использования агрегированного по методу главных компонент индекса в качестве альтернативной спецификации. Устойчивость индекса к выбору весов дополнительно проверяется путём пересчёта при случайных пертурбациях равных весов и сопоставления ранговых корреляций Спирмена между полученными упорядочениями компаний.</w:t>
      </w:r>
    </w:p>
    <w:p>
      <w:pPr>
        <w:spacing w:after="160" w:before="0" w:line="360" w:lineRule="auto"/>
        <w:ind w:firstLine="709"/>
        <w:jc w:val="both"/>
      </w:pPr>
      <w:r>
        <w:rPr>
          <w:rFonts w:ascii="Times New Roman" w:cs="Times New Roman" w:eastAsia="Times New Roman" w:hAnsi="Times New Roman"/>
          <w:sz w:val="28"/>
          <w:szCs w:val="28"/>
        </w:rPr>
        <w:t xml:space="preserve">Формальная спецификация индекса имеет вид:</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TechExp</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MarketExp</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FinExp</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(3.1)</w:t>
      </w:r>
    </w:p>
    <w:p>
      <w:pPr>
        <w:spacing w:after="160" w:before="0"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i</w:t>
      </w:r>
      <w:r>
        <w:rPr>
          <w:rFonts w:ascii="Times New Roman" w:cs="Times New Roman" w:eastAsia="Times New Roman" w:hAnsi="Times New Roman"/>
          <w:sz w:val="28"/>
          <w:szCs w:val="28"/>
        </w:rPr>
        <w:t xml:space="preserve"> — индекс компании; </w:t>
      </w:r>
      <w:r>
        <w:rPr>
          <w:rFonts w:ascii="Times New Roman" w:cs="Times New Roman" w:eastAsia="Times New Roman" w:hAnsi="Times New Roman"/>
          <w:i/>
          <w:iCs/>
          <w:sz w:val="28"/>
          <w:szCs w:val="28"/>
        </w:rPr>
        <w:t xml:space="preserve">TechExp</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MarketExp</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и </w:t>
      </w:r>
      <w:r>
        <w:rPr>
          <w:rFonts w:ascii="Times New Roman" w:cs="Times New Roman" w:eastAsia="Times New Roman" w:hAnsi="Times New Roman"/>
          <w:i/>
          <w:iCs/>
          <w:sz w:val="28"/>
          <w:szCs w:val="28"/>
        </w:rPr>
        <w:t xml:space="preserve">FinExp</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нормализованные на отрезок [0; 1] технологическая, рыночная и финансовая экспозиции компании </w:t>
      </w:r>
      <w:r>
        <w:rPr>
          <w:rFonts w:ascii="Times New Roman" w:cs="Times New Roman" w:eastAsia="Times New Roman" w:hAnsi="Times New Roman"/>
          <w:i/>
          <w:iCs/>
          <w:sz w:val="28"/>
          <w:szCs w:val="28"/>
        </w:rPr>
        <w:t xml:space="preserve">i</w:t>
      </w:r>
      <w:r>
        <w:rPr>
          <w:rFonts w:ascii="Times New Roman" w:cs="Times New Roman" w:eastAsia="Times New Roman" w:hAnsi="Times New Roman"/>
          <w:sz w:val="28"/>
          <w:szCs w:val="28"/>
        </w:rPr>
        <w:t xml:space="preserve">, рассчитанные по данным 2019–2021 гг.;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и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веса компонентов, в базовой спецификации равные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w</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1/3. Индекс не имеет временного индекса </w:t>
      </w:r>
      <w:r>
        <w:rPr>
          <w:rFonts w:ascii="Times New Roman" w:cs="Times New Roman" w:eastAsia="Times New Roman" w:hAnsi="Times New Roman"/>
          <w:i/>
          <w:iCs/>
          <w:sz w:val="28"/>
          <w:szCs w:val="28"/>
        </w:rPr>
        <w:t xml:space="preserve">t</w:t>
      </w:r>
      <w:r>
        <w:rPr>
          <w:rFonts w:ascii="Times New Roman" w:cs="Times New Roman" w:eastAsia="Times New Roman" w:hAnsi="Times New Roman"/>
          <w:sz w:val="28"/>
          <w:szCs w:val="28"/>
        </w:rPr>
        <w:t xml:space="preserve">, поскольку по построению является предопределённой характеристикой фирмы, зафиксированной на момент наступления шока, а не переменной, меняющейся год к году. Ограничением измерения выступает неполнота и неунифицированность раскрытия структуры операционных издержек, географической выручки и структуры финансирования частью российских эмитентов, вследствие чего расчёт технологической экспозиции для отдельных компаний требует контент-анализа неструктурированных текстовых разделов отчётности, что образует наиболее уязвимое с точки зрения измерения звено индекса и учитывается в перечне проверок устойчивости результатов (раздел 3.11).</w:t>
      </w:r>
    </w:p>
    <w:p>
      <w:pPr>
        <w:spacing w:after="120" w:before="240"/>
        <w:jc w:val="left"/>
      </w:pPr>
      <w:r>
        <w:rPr>
          <w:rFonts w:ascii="Times New Roman" w:cs="Times New Roman" w:eastAsia="Times New Roman" w:hAnsi="Times New Roman"/>
          <w:sz w:val="28"/>
          <w:szCs w:val="28"/>
        </w:rPr>
        <w:t xml:space="preserve">Таблица 3.3 — Формирование индекса санкционной экспозиции компании</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123"/>
        <w:gridCol w:w="1871"/>
        <w:gridCol w:w="1684"/>
        <w:gridCol w:w="1871"/>
        <w:gridCol w:w="1123"/>
        <w:gridCol w:w="1684"/>
      </w:tblGrid>
      <w:tr>
        <w:trPr>
          <w:tblHeader/>
        </w:trPr>
        <w:tc>
          <w:tcPr>
            <w:tcW w:type="dxa" w:w="112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Субиндекс</w:t>
            </w:r>
          </w:p>
        </w:tc>
        <w:tc>
          <w:tcPr>
            <w:tcW w:type="dxa" w:w="1871"/>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Содержание</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Показатель</w:t>
            </w:r>
          </w:p>
        </w:tc>
        <w:tc>
          <w:tcPr>
            <w:tcW w:type="dxa" w:w="1871"/>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Формула / способ расчёта</w:t>
            </w:r>
          </w:p>
        </w:tc>
        <w:tc>
          <w:tcPr>
            <w:tcW w:type="dxa" w:w="112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Предсанкционный период</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Источник</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Технологическая экспозиция</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Зависимость от западного программного обеспечения и облачной инфраструктуры</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TechExp</w:t>
            </w:r>
            <w:r>
              <w:rPr>
                <w:rFonts w:ascii="Times New Roman" w:cs="Times New Roman" w:eastAsia="Times New Roman" w:hAnsi="Times New Roman"/>
                <w:sz w:val="24"/>
                <w:szCs w:val="24"/>
                <w:vertAlign w:val="subscript"/>
              </w:rPr>
              <w:t xml:space="preserve">i</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затрат на западное ПО и облачные сервисы в операционных издержках</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2019–2021</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Примечания к МСФО, годовые отчёты</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Рыночная экспозиция</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Зависимость выручки от клиентов из санкционных юрисдикций</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MarketExp</w:t>
            </w:r>
            <w:r>
              <w:rPr>
                <w:rFonts w:ascii="Times New Roman" w:cs="Times New Roman" w:eastAsia="Times New Roman" w:hAnsi="Times New Roman"/>
                <w:sz w:val="24"/>
                <w:szCs w:val="24"/>
                <w:vertAlign w:val="subscript"/>
              </w:rPr>
              <w:t xml:space="preserve">i</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выручки от клиентов из впоследствии санкционных юрисдикций в общей выручке</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2019–2021</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Сегментная отчётность (IFRS 8)</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Финансовая экспозиция</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Зависимость от западных источников капитала</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FinExp</w:t>
            </w:r>
            <w:r>
              <w:rPr>
                <w:rFonts w:ascii="Times New Roman" w:cs="Times New Roman" w:eastAsia="Times New Roman" w:hAnsi="Times New Roman"/>
                <w:sz w:val="24"/>
                <w:szCs w:val="24"/>
                <w:vertAlign w:val="subscript"/>
              </w:rPr>
              <w:t xml:space="preserve">i</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западного долгового и долевого финансирования в структуре капитала</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2019–2021</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Примечания к МСФО о капитале и займах</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Прямая санкционная адресность</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Собственное включение компании/бенефициаров в санкционные перечни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Designated</w:t>
            </w:r>
            <w:r>
              <w:rPr>
                <w:rFonts w:ascii="Times New Roman" w:cs="Times New Roman" w:eastAsia="Times New Roman" w:hAnsi="Times New Roman"/>
                <w:sz w:val="24"/>
                <w:szCs w:val="24"/>
                <w:vertAlign w:val="subscript"/>
              </w:rPr>
              <w:t xml:space="preserve">i</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Бинарный индикатор включения в SDN List / Consolidated List</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На дату наблюдения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OFAC, EU Consolidated List</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 на основе [Hufbauer, Schott, Elliott, Oegg, 2007; Felbermayr, Kirilakha, Syropoulos, Yalcin, Yotov, 2020].</w:t>
      </w:r>
    </w:p>
    <w:p>
      <w:pPr>
        <w:pStyle w:val="Heading2"/>
        <w:spacing w:after="200" w:before="360" w:line="360" w:lineRule="auto"/>
        <w:jc w:val="left"/>
      </w:pPr>
      <w:r>
        <w:rPr>
          <w:rFonts w:ascii="Times New Roman" w:cs="Times New Roman" w:eastAsia="Times New Roman" w:hAnsi="Times New Roman"/>
          <w:b/>
          <w:bCs/>
          <w:sz w:val="28"/>
          <w:szCs w:val="28"/>
        </w:rPr>
        <w:t xml:space="preserve">3.4. Формирование индекса трансформации бизнес-модели</w:t>
      </w:r>
    </w:p>
    <w:p>
      <w:pPr>
        <w:spacing w:after="160" w:before="0" w:line="360" w:lineRule="auto"/>
        <w:ind w:firstLine="709"/>
        <w:jc w:val="both"/>
      </w:pPr>
      <w:r>
        <w:rPr>
          <w:rFonts w:ascii="Times New Roman" w:cs="Times New Roman" w:eastAsia="Times New Roman" w:hAnsi="Times New Roman"/>
          <w:sz w:val="28"/>
          <w:szCs w:val="28"/>
        </w:rPr>
        <w:t xml:space="preserve">Операционализация зависимой переменной строится по логике последовательного перехода от теоретического определения бизнес-модели к её структурным элементам, далее — к наблюдаемым характеристикам этих элементов, затем — к количественным показателям и, наконец, к единому индексу, пригодному в качестве зависимой переменной эконометрической спецификации. Исходной точкой выступает рабочее определение, синтезирующее рассмотренные в разделе 3.1 теоретические традиции: бизнес-модель компании представляет собой логику создания, доставки и присвоения ценности, воплощённую в системе взаимозависимых элементов — ценностном предложении, ключевых видах деятельности и ресурсах, структуре партнёрств, каналах и характере взаимоотношений с клиентами, потребительских сегментах, потоках доходов и структуре затрат. Каждый из девяти структурных блоков канонической канвы Остервальдера и Пинье (Osterwalder, Pigneur, 2010) операционализируется через наблюдаемую характеристику, извлекаемую из консолидированной финансовой отчётности, сегментного раскрытия и годовых отчётов компаний. Механизм трансформации каждого блока формализуется по единой логике: санкционный механизм воздействия порождает определённое экономическое изменение, которое проявляется в наблюдаемой характеристике деятельности компании и, в свою очередь, операционализируется через количественный показатель. Так, ограничение экспорта западных технологий порождает необходимость замещения технологической базы компании, что проявляется в росте доли собственной разработки и капитализируемых нематериальных активов и операционализируется через изменение структуры ключевых ресурсов; уход иностранных клиентов и расширение программ импортозамещения в государственном секторе порождают смещение структуры потребительских сегментов в сторону государственных и окологосударственных заказчиков, операционализируемое через показатели клиентской концентрации. Полная операционализация по всем девяти блокам, включая теоретическое содержание, механизм трансформации, наблюдаемую характеристику, количественный показатель, источник данных и ожидаемое направление изменения, представлена в таблице 3.2.</w:t>
      </w:r>
    </w:p>
    <w:p>
      <w:pPr>
        <w:spacing w:after="120" w:before="240"/>
        <w:jc w:val="left"/>
      </w:pPr>
      <w:r>
        <w:rPr>
          <w:rFonts w:ascii="Times New Roman" w:cs="Times New Roman" w:eastAsia="Times New Roman" w:hAnsi="Times New Roman"/>
          <w:sz w:val="28"/>
          <w:szCs w:val="28"/>
        </w:rPr>
        <w:t xml:space="preserve">Таблица 3.2 — Операционализация девяти блоков бизнес-модели</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123"/>
        <w:gridCol w:w="1403"/>
        <w:gridCol w:w="2058"/>
        <w:gridCol w:w="1310"/>
        <w:gridCol w:w="1403"/>
        <w:gridCol w:w="1123"/>
        <w:gridCol w:w="936"/>
      </w:tblGrid>
      <w:tr>
        <w:trPr>
          <w:tblHeader/>
        </w:trPr>
        <w:tc>
          <w:tcPr>
            <w:tcW w:type="dxa" w:w="112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Блок бизнес-модели</w:t>
            </w:r>
          </w:p>
        </w:tc>
        <w:tc>
          <w:tcPr>
            <w:tcW w:type="dxa" w:w="140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Экономическое содержание</w:t>
            </w:r>
          </w:p>
        </w:tc>
        <w:tc>
          <w:tcPr>
            <w:tcW w:type="dxa" w:w="2058"/>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Механизм трансформации под воздействием санкций</w:t>
            </w:r>
          </w:p>
        </w:tc>
        <w:tc>
          <w:tcPr>
            <w:tcW w:type="dxa" w:w="1310"/>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Индикатор</w:t>
            </w:r>
          </w:p>
        </w:tc>
        <w:tc>
          <w:tcPr>
            <w:tcW w:type="dxa" w:w="140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Расчёт</w:t>
            </w:r>
          </w:p>
        </w:tc>
        <w:tc>
          <w:tcPr>
            <w:tcW w:type="dxa" w:w="1123"/>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Источник данных</w:t>
            </w:r>
          </w:p>
        </w:tc>
        <w:tc>
          <w:tcPr>
            <w:tcW w:type="dxa" w:w="93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Направление изменения</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Ценностное предложение</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Совокупность продуктов и услуг, посредством которых компания создаёт ценность для потребителя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Утрата функциональности утраченных западных решений вынуждает к замещению; уход конкурентов открывает новые ниши</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Изменение продуктового портфеля</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Контент-анализ описания продуктов; доля выручки по продуктовым линиям</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Годовые отчёты, отчётность по сегментам</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определено</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Ключевые виды деятельности</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Действия, необходимые для реализации ценностного предложения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Сдвиг от интеграции западных решений к собственной разработке</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выручки от собственной разработки</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Отношение выручки от собственных продуктов к общей выручке</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Сегментная отчётность, описание деятельности</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Ключевые ресурсы</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Активы, необходимые для функционирования бизнес-модели</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Обесценение технологических активов, замещаемых кадровым и организационным капиталом</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НМА собственной разработки; численность персонала</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Динамика капитализируемых НМА; динамика штата</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МСФО, годовые отчёты, hh.ru</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Ключевые партнёры</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Сеть поставщиков и партнёров, дополняющих бизнес-модель</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Замещение западных вендоров партнёрами из дружественных юрисдикций</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Структура партнёрской сети</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Контент-анализ раскрытия о партнёрах</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Годовые отчёты</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определено</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Каналы сбыта</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Способы взаимодействия с потребителем при доставке ценностного предложения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Блокировка доступа на западные рынки, переориентация на внутренний рынок</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Географическая концентрация выручки</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выручки от отечественного рынка</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Сегментная отчётность (IFRS 8)</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Взаимоотношения с клиентами</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Тип связи, устанавливаемой с каждым потребительским сегментом</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Сдвиг от диверсифицированной международной базы к концентрированной государственно-корпоративной</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Концентрация клиентской базы</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Индекс Херфиндаля — Хиршмана по клиентской базе; доля выручки от крупнейших клиентов</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Годовые отчёты</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Потребительские сегменты</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Группы потребителей, на которые ориентирована бизнес-модель</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Переориентация на государственный и корпоративный сектор</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выручки от государственных заказчиков</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Отношение выручки от госзаказчиков к общей выручке</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Годовые отчёты, данные о крупнейших контрактах</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Потоки доходов</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Способы монетизации ценностного предложения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Переход от разовых лицензионных продаж к подписным и сервисным моделям с внутренним контуром расчётов</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Структура выручки по типу монетизации</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подписной/сервисной выручки в общей выручке</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Отчёт о прибылях и убытках, примечания</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определено</w:t>
            </w:r>
          </w:p>
        </w:tc>
      </w:tr>
      <w:tr>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Структура затрат</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Структура издержек, обеспечивающих функционирование бизнес-модели</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Рост расходов на НИОКР, фонд оплаты труда, локализацию</w:t>
            </w:r>
          </w:p>
        </w:tc>
        <w:tc>
          <w:tcPr>
            <w:tcW w:type="dxa" w:w="131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R&amp;D и ФОТ в операционных издержках</w:t>
            </w:r>
          </w:p>
        </w:tc>
        <w:tc>
          <w:tcPr>
            <w:tcW w:type="dxa" w:w="140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Отношение соответствующих статей к операционным издержкам</w:t>
            </w:r>
          </w:p>
        </w:tc>
        <w:tc>
          <w:tcPr>
            <w:tcW w:type="dxa" w:w="1123"/>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Отчёт о прибылях и убытках, примечания</w:t>
            </w:r>
          </w:p>
        </w:tc>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 на основе [Osterwalder, Pigneur, 2010].</w:t>
      </w:r>
    </w:p>
    <w:p>
      <w:pPr>
        <w:spacing w:after="160" w:before="0" w:line="360" w:lineRule="auto"/>
        <w:ind w:firstLine="709"/>
        <w:jc w:val="both"/>
      </w:pPr>
      <w:r>
        <w:rPr>
          <w:rFonts w:ascii="Times New Roman" w:cs="Times New Roman" w:eastAsia="Times New Roman" w:hAnsi="Times New Roman"/>
          <w:sz w:val="28"/>
          <w:szCs w:val="28"/>
        </w:rPr>
        <w:t xml:space="preserve">Отдельного обоснования заслуживает включение блока «взаимоотношения с клиентами», операционализация которого сопряжена с наиболее слабой среди девяти блоков обеспеченностью данными вследствие неполного и неунифицированного раскрытия структуры клиентской базы российскими IT-эмитентами. Данный блок тем не менее сохранён в основной спецификации, поскольку сдвиг от диверсифицированной международной клиентской базы к концентрированной государственно-корпоративной представляет собой один из наиболее теоретически ожидаемых каналов трансформации бизнес-модели под воздействием санкционного давления, а его исключение означало бы утрату содержательно значимого измерения адаптации; устойчивость итогового индекса к исключению данного блока проверяется отдельно в рамках анализа робастности (раздел 3.11.2).</w:t>
      </w:r>
    </w:p>
    <w:p>
      <w:pPr>
        <w:spacing w:after="160" w:before="0" w:line="360" w:lineRule="auto"/>
        <w:ind w:firstLine="709"/>
        <w:jc w:val="both"/>
      </w:pPr>
      <w:r>
        <w:rPr>
          <w:rFonts w:ascii="Times New Roman" w:cs="Times New Roman" w:eastAsia="Times New Roman" w:hAnsi="Times New Roman"/>
          <w:sz w:val="28"/>
          <w:szCs w:val="28"/>
        </w:rPr>
        <w:t xml:space="preserve">Способ агрегирования девяти блоковых показателей в единый индекс образует самостоятельную методологическую проблему, не сводимую к техническому шагу вычисления среднего. Рассмотрены пять способов агрегирования. Равновзвешенный индекс суммы стандартизированных изменений обеспечивает максимальную прозрачность и полную воспроизводимость, однако предполагает равную значимость всех девяти блоков, что теоретически произвольно. Взвешенный индекс с содержательно обоснованными весами, например пропорциональными доле соответствующей статьи в выручке или издержках компании, позволяет учесть экономическую значимость блока для конкретной фирмы, однако вводит дополнительную степень свободы исследователя, снижающую воспроизводимость. Индекс на основе метода главных компонент задаёт веса объективно, на основании структуры совместной вариации показателей, однако при реалистичном для российских IT-компаний объёме выборки — порядка нескольких десятков единиц — оценки нагрузок неустойчивы к изменению состава выборки, а первая главная компонента не гарантированно интерпретируема содержательно как «трансформация», а не как артефакт структуры данных или отражение иного доминирующего источника вариации, в частности размера компании. Индекс на основе экспертных весов привносит внешнее содержательное знание об относительной важности блоков, однако требует полного документирования состава экспертной панели и процедуры элицитации весов, без чего результат не может быть воспроизведён независимым исследователем. Раздельное представление показателей по каждому блоку без агрегации полностью избегает проблемы агрегирования и даёт максимально детализированную картину, однако противоречит системному пониманию бизнес-модели, лежащему в основании настоящей методики (раздел 3.1), умножает число оцениваемых моделей и не приспособлено к использованию в качестве единой зависимой переменной для спецификаций разности разностей и пороговой регрессии.</w:t>
      </w:r>
    </w:p>
    <w:p>
      <w:pPr>
        <w:spacing w:after="160" w:before="0" w:line="360" w:lineRule="auto"/>
        <w:ind w:firstLine="709"/>
        <w:jc w:val="both"/>
      </w:pPr>
      <w:r>
        <w:rPr>
          <w:rFonts w:ascii="Times New Roman" w:cs="Times New Roman" w:eastAsia="Times New Roman" w:hAnsi="Times New Roman"/>
          <w:sz w:val="28"/>
          <w:szCs w:val="28"/>
        </w:rPr>
        <w:t xml:space="preserve">Основной спецификацией методики выбран равновзвешенный индекс с систематическим использованием метода главных компонент в качестве диагностического инструмента конвергентной валидности и обязательным параллельным представлением поблочных регрессий как содержательного дополнения. Выбор равных весов в качестве основных обусловлен тем, что при реалистичном объёме выборки устойчивость весов, определяемых методом главных компонент, не может считаться гарантированной априорно и подлежит эмпирической проверке, тогда как равные веса дают результат, не зависящий от конкретной реализации выборки. Если индекс, построенный методом главных компонент, коррелирует с равновзвешенным индексом на высоком уровне, это подтверждает, что выбор способа агрегирования не является содержательно критичным для результата; низкая корреляция, напротив, свидетельствовала бы о неустойчивости конструкта к способу агрегирования, что подлежит явному отражению при интерпретации итоговых оценок, а не сокрытию за единственным «предпочтительным» вариантом.</w:t>
      </w:r>
    </w:p>
    <w:p>
      <w:pPr>
        <w:spacing w:after="160" w:before="0" w:line="360" w:lineRule="auto"/>
        <w:ind w:firstLine="709"/>
        <w:jc w:val="both"/>
      </w:pPr>
      <w:r>
        <w:rPr>
          <w:rFonts w:ascii="Times New Roman" w:cs="Times New Roman" w:eastAsia="Times New Roman" w:hAnsi="Times New Roman"/>
          <w:sz w:val="28"/>
          <w:szCs w:val="28"/>
        </w:rPr>
        <w:t xml:space="preserve">Принципиальным для содержательной интерпретации итогового индекса является разграничение между масштабом трансформации бизнес-модели и её успешностью. Индекс трансформации бизнес-модели измеряет величину совокупного изменения элементов бизнес-модели компании относительно среднего изменения по выборке — то есть интенсивность структурной перестройки, а не её экономический результат. Компания, продемонстрировавшая высокое значение индекса, могла как успешно адаптироваться к новым условиям, так и провести масштабную, но экономически неэффективную реконфигурацию бизнес-логики; напротив, компания с низким значением индекса могла не нуждаться в глубокой перестройке ввиду исходно низкой санкционной экспозиции либо адаптироваться посредством точечных, не улавливаемых девятиблочной шкалой действий. Отождествление высокого индекса с «успехом» адаптации представляло бы содержательную ошибку интерпретации, поскольку смешивало бы два различных экономических явления — интенсивность структурных изменений и их результативность. По этой причине методика предусматривает отдельную, самостоятельно операционализированную переменную «успешной трансформации» (раздел 3.11.3), не тождественную индексу трансформации бизнес-модели ни содержательно, ни функционально.</w:t>
      </w:r>
    </w:p>
    <w:p>
      <w:pPr>
        <w:spacing w:after="160" w:before="0" w:line="360" w:lineRule="auto"/>
        <w:ind w:firstLine="709"/>
        <w:jc w:val="both"/>
      </w:pPr>
      <w:r>
        <w:rPr>
          <w:rFonts w:ascii="Times New Roman" w:cs="Times New Roman" w:eastAsia="Times New Roman" w:hAnsi="Times New Roman"/>
          <w:sz w:val="28"/>
          <w:szCs w:val="28"/>
        </w:rPr>
        <w:t xml:space="preserve">Формальная спецификация индекса имеет вид:</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ITBM</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⅑ Σ</w:t>
      </w:r>
      <w:r>
        <w:rPr>
          <w:rFonts w:ascii="Times New Roman" w:cs="Times New Roman" w:eastAsia="Times New Roman" w:hAnsi="Times New Roman"/>
          <w:sz w:val="28"/>
          <w:szCs w:val="28"/>
          <w:vertAlign w:val="subscript"/>
        </w:rPr>
        <w:t xml:space="preserve">k=1</w:t>
      </w:r>
      <w:r>
        <w:rPr>
          <w:rFonts w:ascii="Times New Roman" w:cs="Times New Roman" w:eastAsia="Times New Roman" w:hAnsi="Times New Roman"/>
          <w:sz w:val="28"/>
          <w:szCs w:val="28"/>
          <w:vertAlign w:val="superscript"/>
        </w:rPr>
        <w:t xml:space="preserve">9</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z</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ΔB</w:t>
      </w:r>
      <w:r>
        <w:rPr>
          <w:rFonts w:ascii="Times New Roman" w:cs="Times New Roman" w:eastAsia="Times New Roman" w:hAnsi="Times New Roman"/>
          <w:sz w:val="28"/>
          <w:szCs w:val="28"/>
          <w:vertAlign w:val="subscript"/>
        </w:rPr>
        <w:t xml:space="preserve">k,i</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(3.2)</w:t>
      </w:r>
    </w:p>
    <w:p>
      <w:pPr>
        <w:spacing w:after="160" w:before="0"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ΔB</w:t>
      </w:r>
      <w:r>
        <w:rPr>
          <w:rFonts w:ascii="Times New Roman" w:cs="Times New Roman" w:eastAsia="Times New Roman" w:hAnsi="Times New Roman"/>
          <w:sz w:val="28"/>
          <w:szCs w:val="28"/>
          <w:vertAlign w:val="subscript"/>
        </w:rPr>
        <w:t xml:space="preserve">k,i</w:t>
      </w:r>
      <w:r>
        <w:rPr>
          <w:rFonts w:ascii="Times New Roman" w:cs="Times New Roman" w:eastAsia="Times New Roman" w:hAnsi="Times New Roman"/>
          <w:sz w:val="28"/>
          <w:szCs w:val="28"/>
        </w:rPr>
        <w:t xml:space="preserve"> — изменение нормализованного показателя блока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бизнес-модели компании </w:t>
      </w:r>
      <w:r>
        <w:rPr>
          <w:rFonts w:ascii="Times New Roman" w:cs="Times New Roman" w:eastAsia="Times New Roman" w:hAnsi="Times New Roman"/>
          <w:i/>
          <w:iCs/>
          <w:sz w:val="28"/>
          <w:szCs w:val="28"/>
        </w:rPr>
        <w:t xml:space="preserve">i</w:t>
      </w:r>
      <w:r>
        <w:rPr>
          <w:rFonts w:ascii="Times New Roman" w:cs="Times New Roman" w:eastAsia="Times New Roman" w:hAnsi="Times New Roman"/>
          <w:sz w:val="28"/>
          <w:szCs w:val="28"/>
        </w:rPr>
        <w:t xml:space="preserve"> между предсанкционным (2019–2021, среднее) и постсанкционным (2022–2024) периодами; </w:t>
      </w:r>
      <w:r>
        <w:rPr>
          <w:rFonts w:ascii="Times New Roman" w:cs="Times New Roman" w:eastAsia="Times New Roman" w:hAnsi="Times New Roman"/>
          <w:i/>
          <w:iCs/>
          <w:sz w:val="28"/>
          <w:szCs w:val="28"/>
        </w:rPr>
        <w:t xml:space="preserve">z</w:t>
      </w:r>
      <w:r>
        <w:rPr>
          <w:rFonts w:ascii="Times New Roman" w:cs="Times New Roman" w:eastAsia="Times New Roman" w:hAnsi="Times New Roman"/>
          <w:sz w:val="28"/>
          <w:szCs w:val="28"/>
        </w:rPr>
        <w:t xml:space="preserve">(·) — оператор стандартизации в выборке. При использовании индекса в качестве панельной зависимой переменной </w:t>
      </w:r>
      <w:r>
        <w:rPr>
          <w:rFonts w:ascii="Times New Roman" w:cs="Times New Roman" w:eastAsia="Times New Roman" w:hAnsi="Times New Roman"/>
          <w:i/>
          <w:iCs/>
          <w:sz w:val="28"/>
          <w:szCs w:val="28"/>
        </w:rPr>
        <w:t xml:space="preserve">ITBM</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конструкция адаптируется как кумулятивное отклонение от собственного предсанкционного среднего компании </w:t>
      </w:r>
      <w:r>
        <w:rPr>
          <w:rFonts w:ascii="Times New Roman" w:cs="Times New Roman" w:eastAsia="Times New Roman" w:hAnsi="Times New Roman"/>
          <w:i/>
          <w:iCs/>
          <w:sz w:val="28"/>
          <w:szCs w:val="28"/>
        </w:rPr>
        <w:t xml:space="preserve">i</w:t>
      </w:r>
      <w:r>
        <w:rPr>
          <w:rFonts w:ascii="Times New Roman" w:cs="Times New Roman" w:eastAsia="Times New Roman" w:hAnsi="Times New Roman"/>
          <w:sz w:val="28"/>
          <w:szCs w:val="28"/>
        </w:rPr>
        <w:t xml:space="preserve"> по каждому блоку, приведённое к общевыборочному стандартному отклонению, что обеспечивает содержательную согласованность с последующими спецификациями с фиксированными эффектами и разностью разностей (разделы 3.6–3.7), где идентификация опирается на внутригрупповую и межгрупповую вариацию во времени. Высокое положительное значение индекса означает масштабное изменение элементов бизнес-модели компании относительно среднего изменения по выборке; поскольку индекс по построению центрирован, он не имеет естественного нулевого уровня «отсутствия изменений» в абсолютном смысле и является относительной, а не абсолютной шкалой. Межфирменная сопоставимость индекса корректна в пределах одной выборки и периода нормализации; межвременная сопоставимость между санкционными эпизодами 2014 и 2022 гг. (раздел 3.11.6) требует дополнительной калибровки, поскольку стандартизация, выполненная отдельно для каждого эпизода, даёт индексы, сопоставимые лишь по относительному рангу внутри своей выборки.</w:t>
      </w:r>
    </w:p>
    <w:p>
      <w:pPr>
        <w:pStyle w:val="Heading2"/>
        <w:spacing w:after="200" w:before="360" w:line="360" w:lineRule="auto"/>
        <w:jc w:val="left"/>
      </w:pPr>
      <w:r>
        <w:rPr>
          <w:rFonts w:ascii="Times New Roman" w:cs="Times New Roman" w:eastAsia="Times New Roman" w:hAnsi="Times New Roman"/>
          <w:b/>
          <w:bCs/>
          <w:sz w:val="28"/>
          <w:szCs w:val="28"/>
        </w:rPr>
        <w:t xml:space="preserve">3.5. Формирование информационной базы и панели данных</w:t>
      </w:r>
    </w:p>
    <w:p>
      <w:pPr>
        <w:spacing w:after="160" w:before="0" w:line="360" w:lineRule="auto"/>
        <w:ind w:firstLine="709"/>
        <w:jc w:val="both"/>
      </w:pPr>
      <w:r>
        <w:rPr>
          <w:rFonts w:ascii="Times New Roman" w:cs="Times New Roman" w:eastAsia="Times New Roman" w:hAnsi="Times New Roman"/>
          <w:sz w:val="28"/>
          <w:szCs w:val="28"/>
        </w:rPr>
        <w:t xml:space="preserve">Единицей анализа выбрана пара «компания × год». Альтернативная единица «компания × квартал» отклонена, поскольку квартальная отчётность в детализации, необходимой для расчёта девятиблочного индекса трансформации бизнес-модели — в частности, сегментной структуры выручки и структуры затрат, — публикуется существенно более узким кругом эмитентов, чем годовая, а издержки корректировки бизнес-модели по своей природе не являются высокочастотным процессом, что делает годовую периодичность содержательно адекватной задаче исследования.</w:t>
      </w:r>
    </w:p>
    <w:p>
      <w:pPr>
        <w:spacing w:after="160" w:before="0" w:line="360" w:lineRule="auto"/>
        <w:ind w:firstLine="709"/>
        <w:jc w:val="both"/>
      </w:pPr>
      <w:r>
        <w:rPr>
          <w:rFonts w:ascii="Times New Roman" w:cs="Times New Roman" w:eastAsia="Times New Roman" w:hAnsi="Times New Roman"/>
          <w:sz w:val="28"/>
          <w:szCs w:val="28"/>
        </w:rPr>
        <w:t xml:space="preserve">Панель охватывает период 2019–2024 гг. — три года до и три года после начала шока 2022 г. Симметричность окна наблюдения не случайна: она обеспечивает сопоставимую статистическую мощность для оценки пред- и постшоковых трендов (раздел 3.8) и минимизирует риск того, что оценка эффекта будет опираться на несопоставимые по продолжительности периоды.</w:t>
      </w:r>
    </w:p>
    <w:p>
      <w:pPr>
        <w:spacing w:after="160" w:before="0" w:line="360" w:lineRule="auto"/>
        <w:ind w:firstLine="709"/>
        <w:jc w:val="both"/>
      </w:pPr>
      <w:r>
        <w:rPr>
          <w:rFonts w:ascii="Times New Roman" w:cs="Times New Roman" w:eastAsia="Times New Roman" w:hAnsi="Times New Roman"/>
          <w:sz w:val="28"/>
          <w:szCs w:val="28"/>
        </w:rPr>
        <w:t xml:space="preserve">Требование к полноте раскрытия данных, необходимых для расчёта девятиблочного индекса трансформации бизнес-модели, существенно более строгое, чем требование, достаточное для целей описательного анализа отрасли в целом, что обусловливает разграничение трёх уровней выборки. Основную выборку образуют публичные компании и компании, добровольно раскрывающие консолидированную отчётность по МСФО за весь период 2019–2024 гг. в объёме, достаточном для расчёта всех девяти блоков индекса трансформации бизнес-модели и трёх компонентов индекса санкционной экспозиции, — ориентировочно компании уровня ПАО «Группа Позитив», ПАО «Хэдхантер», ПАО «Софтлайн», ПАО «Аренадата» и сопоставимые эмитенты, реалистично не более 15–25 единиц. Расширенную выборку образуют компании из Реестра аккредитованных IT-организаций Министерства цифрового развития Российской Федерации и обзоров РУССОФТ и АПКИТ, по которым доступна частичная финансовая информация, достаточная для расчёта индекса санкционной экспозиции и упрощённой версии индекса трансформации бизнес-модели, но не полной девятиблочной версии; данная выборка используется для проверки внешней валидности результатов основной выборки и для анализа вероятности выбывания компаний (раздел 3.11.5), где требования к детализации данных ниже. Выборка для проверки устойчивости образуется исключением из основной выборки одной или нескольких крупнейших компаний, в частности ПАО «Группа Позитив» ввиду её величины и заметности, и используется исключительно для проверки того, что результаты не определяются единичным влиятельным наблюдением. Разграничение трёх уровней выборки отражает объективный компромисс между глубиной операционализации, требующей детальной отчётности, и статистической мощностью, требующей большего числа наблюдений, а не методологическую непоследовательность.</w:t>
      </w:r>
    </w:p>
    <w:p>
      <w:pPr>
        <w:spacing w:after="160" w:before="0" w:line="360" w:lineRule="auto"/>
        <w:ind w:firstLine="709"/>
        <w:jc w:val="both"/>
      </w:pPr>
      <w:r>
        <w:rPr>
          <w:rFonts w:ascii="Times New Roman" w:cs="Times New Roman" w:eastAsia="Times New Roman" w:hAnsi="Times New Roman"/>
          <w:sz w:val="28"/>
          <w:szCs w:val="28"/>
        </w:rPr>
        <w:t xml:space="preserve">Панель является несбалансированной по построению: часть компаний прекращает публичное раскрытие, проходит делистинг, объявляет банкротство или меняет структуру собственности в течение 2022–2024 гг. Искусственная балансировка панели путём включения в выборку только компаний с полными данными за все шесть лет эквивалентна обусловливанию по исходу (conditioning on the outcome) в случаях, когда прекращение раскрытия само является следствием санкционного шока, вследствие чего прямо порождает смещение вследствие выбывания (survivorship bias), рассматриваемое как самостоятельная угроза идентификации в разделе 3.11.5.</w:t>
      </w:r>
    </w:p>
    <w:p>
      <w:pPr>
        <w:spacing w:after="160" w:before="0" w:line="360" w:lineRule="auto"/>
        <w:ind w:firstLine="709"/>
        <w:jc w:val="both"/>
      </w:pPr>
      <w:r>
        <w:rPr>
          <w:rFonts w:ascii="Times New Roman" w:cs="Times New Roman" w:eastAsia="Times New Roman" w:hAnsi="Times New Roman"/>
          <w:sz w:val="28"/>
          <w:szCs w:val="28"/>
        </w:rPr>
        <w:t xml:space="preserve">Информационная база формируется из следующих источников. Консолидированная финансовая отчётность по МСФО и примечания к ней, включая сегментную географическую и продуктовую отчётность в соответствии с IFRS 8, извлекаются из годовых отчётов и раскрытий эмитентов на страницах раскрытия информации и на корпоративных сайтах компаний. Реестр аккредитованных IT-организаций Министерства цифрового развития, объединяющий свыше 25 000 организаций, и ежегодные отраслевые обзоры РУССОФТ и АПКИТ используются для формирования расширенной выборки и контекстных отраслевых показателей. Официальные санкционные перечни — SDN List Управления по контролю за иностранными активами Министерства финансов США и Consolidated List Европейского союза — используются для построения индикатора прямой санкционной адресности. Данные hh.ru привлекаются для верификации динамики численности персонала и кадровой структуры компаний. Раскрытие большинства перечисленных показателей неоднородно по составу выборки: часть эмитентов не публикует детализированную географическую сегментацию выручки либо структуру операционных издержек в разрезе, достаточном для прямого расчёта технологической экспозиции, что обусловливает необходимость контент-анализа текстовых разделов отчётности для части наблюдений и учитывается как самостоятельное ограничение измерения (раздел 3.12).</w:t>
      </w:r>
    </w:p>
    <w:p>
      <w:pPr>
        <w:pStyle w:val="Heading2"/>
        <w:spacing w:after="200" w:before="360" w:line="360" w:lineRule="auto"/>
        <w:jc w:val="left"/>
      </w:pPr>
      <w:r>
        <w:rPr>
          <w:rFonts w:ascii="Times New Roman" w:cs="Times New Roman" w:eastAsia="Times New Roman" w:hAnsi="Times New Roman"/>
          <w:b/>
          <w:bCs/>
          <w:sz w:val="28"/>
          <w:szCs w:val="28"/>
        </w:rPr>
        <w:t xml:space="preserve">3.6. Спецификация базовой панельной модели</w:t>
      </w:r>
    </w:p>
    <w:p>
      <w:pPr>
        <w:spacing w:after="160" w:before="0" w:line="360" w:lineRule="auto"/>
        <w:ind w:firstLine="709"/>
        <w:jc w:val="both"/>
      </w:pPr>
      <w:r>
        <w:rPr>
          <w:rFonts w:ascii="Times New Roman" w:cs="Times New Roman" w:eastAsia="Times New Roman" w:hAnsi="Times New Roman"/>
          <w:sz w:val="28"/>
          <w:szCs w:val="28"/>
        </w:rPr>
        <w:t xml:space="preserve">Базовая эконометрическая спецификация, связывающая индекс санкционной экспозиции с индексом трансформации бизнес-модели, строится как двусторонняя модель с фиксированными эффектами (two-way fixed effects), а не как модель, включающая одновременно индивидуальные фиксированные эффекты компании и не меняющийся во времени регрессор уровня цифровизации в качестве самостоятельного слагаемого. Последнее сочетание эконометрически некорректно: при оценивании методом фиксированных эффектов через внутригрупповое (within) преобразование из каждой переменной вычитается её среднее по компании за весь период наблюдения, вследствие чего внутригрупповое отклонение не меняющегося во времени регрессора тождественно равно нулю для каждого наблюдения, а соответствующий коэффициент не идентифицируется вследствие совершенной мультиколлинеарности с фиксированными эффектами (Wooldridge, 2010). Поскольку содержательной целью включения показателя цифровизации выступает не оценка его самостоятельного эффекта, а проверка гипотезы о гетерогенности воздействия санкционной экспозиции в зависимости от уровня цифровизации (H2), решение состоит в исключении самостоятельного слагаемого и сохранении исключительно тройного взаимодействия данного показателя с переменными интереса, что не создаёт проблемы идентификации, поскольку взаимодействие с индикатором постшокового периода варьируется во времени внутри компании.</w:t>
      </w:r>
    </w:p>
    <w:p>
      <w:pPr>
        <w:spacing w:after="160" w:before="0" w:line="360" w:lineRule="auto"/>
        <w:ind w:firstLine="709"/>
        <w:jc w:val="both"/>
      </w:pPr>
      <w:r>
        <w:rPr>
          <w:rFonts w:ascii="Times New Roman" w:cs="Times New Roman" w:eastAsia="Times New Roman" w:hAnsi="Times New Roman"/>
          <w:sz w:val="28"/>
          <w:szCs w:val="28"/>
        </w:rPr>
        <w:t xml:space="preserve">Основная спецификация имеет вид:</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ITBM</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α</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λ</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Digital</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ε</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(3.3)</w:t>
      </w:r>
    </w:p>
    <w:p>
      <w:pPr>
        <w:spacing w:after="160" w:before="0"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α</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индивидуальные фиксированные эффекты компании; </w:t>
      </w:r>
      <w:r>
        <w:rPr>
          <w:rFonts w:ascii="Times New Roman" w:cs="Times New Roman" w:eastAsia="Times New Roman" w:hAnsi="Times New Roman"/>
          <w:i/>
          <w:iCs/>
          <w:sz w:val="28"/>
          <w:szCs w:val="28"/>
        </w:rPr>
        <w:t xml:space="preserve">λ</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временны́е (годовые) фиксированные эффекты;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индикатор постшокового периода, равный единице при </w:t>
      </w:r>
      <w:r>
        <w:rPr>
          <w:rFonts w:ascii="Times New Roman" w:cs="Times New Roman" w:eastAsia="Times New Roman" w:hAnsi="Times New Roman"/>
          <w:i/>
          <w:iCs/>
          <w:sz w:val="28"/>
          <w:szCs w:val="28"/>
        </w:rPr>
        <w:t xml:space="preserve">t</w:t>
      </w:r>
      <w:r>
        <w:rPr>
          <w:rFonts w:ascii="Times New Roman" w:cs="Times New Roman" w:eastAsia="Times New Roman" w:hAnsi="Times New Roman"/>
          <w:sz w:val="28"/>
          <w:szCs w:val="28"/>
        </w:rPr>
        <w:t xml:space="preserve"> ≥ 2022; </w:t>
      </w:r>
      <w:r>
        <w:rPr>
          <w:rFonts w:ascii="Times New Roman" w:cs="Times New Roman" w:eastAsia="Times New Roman" w:hAnsi="Times New Roman"/>
          <w:i/>
          <w:iCs/>
          <w:sz w:val="28"/>
          <w:szCs w:val="28"/>
        </w:rPr>
        <w:t xml:space="preserve">Digital</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предсанкционный, не меняющийся во времени индекс уровня цифровизации и технологического потенциала компании; </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вектор изменяющихся во времени контрольных переменных;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 вектор соответствующих коэффициентов. Параметром интереса выступает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оценивающий предельный эффект единицы прироста предсанкционной экспозиции на изменение индекса трансформации бизнес-модели после шока; ожидаемый знак положителен (гипотеза H1). Параметр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оценивает гетерогенность данного эффекта по уровню цифровизации; ожидаемый знак не определён теоретически (гипотеза H2).</w:t>
      </w:r>
    </w:p>
    <w:p>
      <w:pPr>
        <w:spacing w:after="160" w:before="0" w:line="360" w:lineRule="auto"/>
        <w:ind w:firstLine="709"/>
        <w:jc w:val="both"/>
      </w:pPr>
      <w:r>
        <w:rPr>
          <w:rFonts w:ascii="Times New Roman" w:cs="Times New Roman" w:eastAsia="Times New Roman" w:hAnsi="Times New Roman"/>
          <w:sz w:val="28"/>
          <w:szCs w:val="28"/>
        </w:rPr>
        <w:t xml:space="preserve">Включение индивидуальных фиксированных эффектов </w:t>
      </w:r>
      <w:r>
        <w:rPr>
          <w:rFonts w:ascii="Times New Roman" w:cs="Times New Roman" w:eastAsia="Times New Roman" w:hAnsi="Times New Roman"/>
          <w:i/>
          <w:iCs/>
          <w:sz w:val="28"/>
          <w:szCs w:val="28"/>
        </w:rPr>
        <w:t xml:space="preserve">α</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обусловлено необходимостью учёта ненаблюдаемой неоднородности компаний, которая может одновременно определять исходный уровень санкционной экспозиции и способность к адаптации бизнес-модели. К числу подобных ненаблюдаемых характеристик относятся технологическая специализация фирмы, накопленный организационный капитал, качество менеджмента и сформированные до санкционного периода партнёрские связи. При условии, что перечисленные факторы можно считать неизменными во времени в пределах анализируемого шестилетнего окна, их влияние полностью поглощается индивидуальным фиксированным эффектом, а оценка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идентифицируется исключительно за счёт внутригрупповой вариации во времени — то есть за счёт сопоставления траектории каждой компании относительно самой себя до и после шока, а не за счёт сопоставления разных компаний между собой на уровне (Wooldridge, 2010; Baltagi, 2021). Включение временны́х фиксированных эффектов </w:t>
      </w:r>
      <w:r>
        <w:rPr>
          <w:rFonts w:ascii="Times New Roman" w:cs="Times New Roman" w:eastAsia="Times New Roman" w:hAnsi="Times New Roman"/>
          <w:i/>
          <w:iCs/>
          <w:sz w:val="28"/>
          <w:szCs w:val="28"/>
        </w:rPr>
        <w:t xml:space="preserve">λ</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обусловлено спецификой окна наблюдения 2019–2024 гг., включающего пандемийный шок 2020–2021 гг., последующие изменения курса рубля и ключевой ставки, масштабные программы государственной поддержки IT-отрасли и общеотраслевой рост спроса на решения в области кибербезопасности — факторы, затрагивающие все компании выборки одновременно, независимо от их индивидуальной санкционной экспозиции. Без временны́х фиксированных эффектов оценка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оказалась бы смещена в той мере, в какой перечисленные общие шоки коррелируют по времени с санкционным шоком 2022 г., что для пандемийного шока и последующих макроэкономических возмущений верно практически по построению (раздел 3.12). Двусторонняя, а не только индивидуальная, структура фиксированных эффектов образует, таким образом, прямое методологическое требование, вытекающее из специфики периода наблюдения, а не расширение спецификации для полноты изложения. Ценой применения фиксированных эффектов выступает невозможность идентификации эффекта любого не меняющегося во времени регрессора, включая отраслевую принадлежность компании при отсутствии перехода между сегментами, что является осознанным и стандартным ограничением подобного оценивания, а не недостатком, специфичным для данной модели.</w:t>
      </w:r>
    </w:p>
    <w:p>
      <w:pPr>
        <w:spacing w:after="160" w:before="0" w:line="360" w:lineRule="auto"/>
        <w:ind w:firstLine="709"/>
        <w:jc w:val="both"/>
      </w:pPr>
      <w:r>
        <w:rPr>
          <w:rFonts w:ascii="Times New Roman" w:cs="Times New Roman" w:eastAsia="Times New Roman" w:hAnsi="Times New Roman"/>
          <w:sz w:val="28"/>
          <w:szCs w:val="28"/>
        </w:rPr>
        <w:t xml:space="preserve">Необходимо разграничить роль фиксированных эффектов и роль спецификации разности разностей, рассматриваемой в разделе 3.7, поскольку данные два инструмента решают различные, хотя и взаимодополняющие задачи. Фиксированные эффекты образуют способ учёта ненаблюдаемой неоднородности компаний — они устраняют смещение, порождаемое корреляцией предсанкционной экспозиции с неизменными во времени ненаблюдаемыми характеристиками фирмы, однако сами по себе не превращают полученную оценку в причинную: панельная регрессия с фиксированными эффектами остаётся по существу ассоциативным инструментом до тех пор, пока не дополнена стратегией идентификации, опирающейся на quasi-экспериментальную логику. Такую стратегию образует разность разностей — не альтернативный, а надстраиваемый над панельной моделью инструмент, добавляющий к устранению ненаблюдаемой неоднородности идентификацию через сопоставление динамики зависимой переменной между единицами с различной интенсивностью воздействия при выполнении предпосылки параллельных трендов (раздел 3.7). Формально спецификация (3.3) образует общую основу, из которой при соответствующей интерпретации коэффициента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как эффекта дифференцированной интенсивности непрерывного воздействия непосредственно следует основная спецификация разности разностей раздела 3.7 — панельная модель и метод разности разностей в настоящей методике образуют, тем самым, единую, а не две независимые спецификационные линии.</w:t>
      </w:r>
    </w:p>
    <w:p>
      <w:pPr>
        <w:spacing w:after="160" w:before="0" w:line="360" w:lineRule="auto"/>
        <w:ind w:firstLine="709"/>
        <w:jc w:val="both"/>
      </w:pPr>
      <w:r>
        <w:rPr>
          <w:rFonts w:ascii="Times New Roman" w:cs="Times New Roman" w:eastAsia="Times New Roman" w:hAnsi="Times New Roman"/>
          <w:sz w:val="28"/>
          <w:szCs w:val="28"/>
        </w:rPr>
        <w:t xml:space="preserve">Выбор модели с фиксированными, а не со случайными эффектами обоснован содержательно, до проведения какого-либо формального теста. Ключевая предпосылка модели со случайными эффектами — некоррелированность индивидуальных эффектов с регрессорами — априори неправдоподобна в контексте настоящего исследования: санкционная экспозиция компании не является случайно присвоенной характеристикой, а представляет собой результат предсанкционных стратегических решений, которые с высокой вероятностью коррелируют с ненаблюдаемыми управленческими и организационными характеристиками фирмы — например, компании с амбициозным, ориентированным на глобальную экспансию менеджментом систематически чаще выбирали интеграцию западных технологий. Если это так, оценка со случайными эффектами будет смещена вследствие пропуска коррелирующих с регрессором ненаблюдаемых факторов, тогда как оценка с фиксированными эффектами по построению устраняет данное смещение ценой утраты возможности оценить эффект не меняющихся во времени регрессоров. Тест Хаусмана используется в методике не как единственное основание выбора между двумя спецификациями, а как дополнительная диагностическая проверка, подтверждающая содержательно обоснованное решение: значимое расхождение оценок с фиксированными и случайными эффектами интерпретируется как эмпирическое подтверждение уже принятого решения, тогда как статистически незначимый результат теста при малой выборке не рассматривается как достаточное основание для отказа от содержательного аргумента о вероятной коррелированности индивидуальных эффектов с санкционной экспозицией, поскольку мощность теста Хаусмана при реалистичном для настоящего исследования числе компаний ограничена. Модель со случайными эффектами не отбрасывается полностью, а используется в модификации, предложенной Мундлаком: включение в спецификацию со случайными эффектами средних по времени значений изменяющихся во времени регрессоров делает оценку со случайными эффектами численно эквивалентной оценке с фиксированными эффектами для коэффициентов при изменяющихся во времени переменных, но дополнительно позволяет получить описательную, не строго причинную оценку коэффициента при показателе цифровизации как самостоятельном слагаемом (Mundlak, 1978) — то есть используется как вспомогательный инструмент именно там, где оценивание с фиксированными эффектами принципиально не работает, без отказа от него как основной спецификации.</w:t>
      </w:r>
    </w:p>
    <w:p>
      <w:pPr>
        <w:spacing w:after="160" w:before="0" w:line="360" w:lineRule="auto"/>
        <w:ind w:firstLine="709"/>
        <w:jc w:val="both"/>
      </w:pPr>
      <w:r>
        <w:rPr>
          <w:rFonts w:ascii="Times New Roman" w:cs="Times New Roman" w:eastAsia="Times New Roman" w:hAnsi="Times New Roman"/>
          <w:sz w:val="28"/>
          <w:szCs w:val="28"/>
        </w:rPr>
        <w:t xml:space="preserve">Остатки панельной модели с высокой вероятностью гетероскедастичны вследствие существенного различия компаний по масштабу и серийно коррелированы внутри компании, поскольку наблюдения одной фирмы в соседние годы не являются статистически независимыми. Стандартные ошибки кластеризуются на уровне компании (Petersen, 2009), что одновременно корректирует оба указанных нарушения предпосылок классической регрессии. При наличии оснований полагать общеотраслевую, а не только внутрифирменную коррелированность остатков — что правдоподобно для узкой, тесно взаимосвязанной российской IT-отрасли, компании которой подвержены общим шокам спроса и регулирования, — применяется двусторонняя кластеризация по компании и году (Cameron, Gelbach, Miller, 2011). При малом числе кластеров, реалистичном для основной выборки, дополнительно учитывается известная проблема смещённости кластерных стандартных ошибок в конечных выборках, для устранения которой рассматривается процедура wild cluster bootstrap в качестве альтернативной процедуры статистического вывода.</w:t>
      </w:r>
    </w:p>
    <w:p>
      <w:pPr>
        <w:spacing w:after="120" w:before="240"/>
        <w:jc w:val="left"/>
      </w:pPr>
      <w:r>
        <w:rPr>
          <w:rFonts w:ascii="Times New Roman" w:cs="Times New Roman" w:eastAsia="Times New Roman" w:hAnsi="Times New Roman"/>
          <w:sz w:val="28"/>
          <w:szCs w:val="28"/>
        </w:rPr>
        <w:t xml:space="preserve">Таблица 3.1 — Операционализация переменных исследования</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936"/>
        <w:gridCol w:w="842"/>
        <w:gridCol w:w="1590"/>
        <w:gridCol w:w="1684"/>
        <w:gridCol w:w="1029"/>
        <w:gridCol w:w="1029"/>
        <w:gridCol w:w="1216"/>
        <w:gridCol w:w="1029"/>
      </w:tblGrid>
      <w:tr>
        <w:trPr>
          <w:tblHeader/>
        </w:trPr>
        <w:tc>
          <w:tcPr>
            <w:tcW w:type="dxa" w:w="93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Группа</w:t>
            </w:r>
          </w:p>
        </w:tc>
        <w:tc>
          <w:tcPr>
            <w:tcW w:type="dxa" w:w="842"/>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Переменная</w:t>
            </w:r>
          </w:p>
        </w:tc>
        <w:tc>
          <w:tcPr>
            <w:tcW w:type="dxa" w:w="1590"/>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Экономический смысл</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Формула / способ расчёта</w:t>
            </w:r>
          </w:p>
        </w:tc>
        <w:tc>
          <w:tcPr>
            <w:tcW w:type="dxa" w:w="1029"/>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Тип переменной</w:t>
            </w:r>
          </w:p>
        </w:tc>
        <w:tc>
          <w:tcPr>
            <w:tcW w:type="dxa" w:w="1029"/>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Единица измерения</w:t>
            </w:r>
          </w:p>
        </w:tc>
        <w:tc>
          <w:tcPr>
            <w:tcW w:type="dxa" w:w="121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Источник данных</w:t>
            </w:r>
          </w:p>
        </w:tc>
        <w:tc>
          <w:tcPr>
            <w:tcW w:type="dxa" w:w="1029"/>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Ожидаемое влияние</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Зависимая переменная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ITBM</w:t>
            </w:r>
            <w:r>
              <w:rPr>
                <w:rFonts w:ascii="Times New Roman" w:cs="Times New Roman" w:eastAsia="Times New Roman" w:hAnsi="Times New Roman"/>
                <w:sz w:val="24"/>
                <w:szCs w:val="24"/>
                <w:vertAlign w:val="subscript"/>
              </w:rPr>
              <w:t xml:space="preserve">it</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Индекс трансформации бизнес-модели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Равновзвешенная сумма стандартизированных изменений по 9 блокам BMC (формула 3.2)</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 панельная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Стандартизированные единицы</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МСФО, годовые отчёты, сегментная отчётность</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Ключевая объясняющая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Индекс санкционной экспозиции компании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Взвешенная сумма трёх компонентов (формула 3.1)</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 time-invariant</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[0; 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МСФО 2019–2021 гг.</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Ключевая объясняющая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Post</w:t>
            </w:r>
            <w:r>
              <w:rPr>
                <w:rFonts w:ascii="Times New Roman" w:cs="Times New Roman" w:eastAsia="Times New Roman" w:hAnsi="Times New Roman"/>
                <w:sz w:val="24"/>
                <w:szCs w:val="24"/>
                <w:vertAlign w:val="subscript"/>
              </w:rPr>
              <w:t xml:space="preserve">t</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Постшоковый период</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2022</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Бинарная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0/1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Расчётная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Ключевая объясняющая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Digital</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Уровень цифровизации / технологического потенциала</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Индекс на основе доли выручки от собственных цифровых продуктов и доли IT-персонала, 2019–2021</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 time-invariant</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Стандартизированные единицы</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Годовые отчёты, кадровая статистика</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определено (H2)</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Контрольная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Size</w:t>
            </w:r>
            <w:r>
              <w:rPr>
                <w:rFonts w:ascii="Times New Roman" w:cs="Times New Roman" w:eastAsia="Times New Roman" w:hAnsi="Times New Roman"/>
                <w:sz w:val="24"/>
                <w:szCs w:val="24"/>
                <w:vertAlign w:val="subscript"/>
              </w:rPr>
              <w:t xml:space="preserve">it</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Размер компании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Логарифм выручки либо активов</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Натуральный логарифм</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МСФО</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Контрольная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Age</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Возраст компании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Число лет с момента основания на 2019 г.</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 time-invariant</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Годы</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ЕГРЮЛ, годовые отчёты</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Контрольная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Leverage</w:t>
            </w:r>
            <w:r>
              <w:rPr>
                <w:rFonts w:ascii="Times New Roman" w:cs="Times New Roman" w:eastAsia="Times New Roman" w:hAnsi="Times New Roman"/>
                <w:sz w:val="24"/>
                <w:szCs w:val="24"/>
                <w:vertAlign w:val="subscript"/>
              </w:rPr>
              <w:t xml:space="preserve">it</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Долговая нагрузка</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Отношение заёмного капитала к активам</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МСФО</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определено</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Контрольная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Profitability</w:t>
            </w:r>
            <w:r>
              <w:rPr>
                <w:rFonts w:ascii="Times New Roman" w:cs="Times New Roman" w:eastAsia="Times New Roman" w:hAnsi="Times New Roman"/>
                <w:sz w:val="24"/>
                <w:szCs w:val="24"/>
                <w:vertAlign w:val="subscript"/>
              </w:rPr>
              <w:t xml:space="preserve">it</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Рентабельность</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ROA либо EBITDA-маржа</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МСФО</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 определено</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Контрольная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Export</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Экспортная зависимость (предшоковая)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экспортной выручки в общей выручке, 2019–2021</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 time-invariant</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Сегментная отчётность</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Контрольная</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StateOrientation</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Ориентация на государственный сектор (предшоковая)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Доля выручки от государственных заказчиков, 2019–2021</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 time-invariant</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[0; 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Годовые отчёты</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Для robustness</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Treat</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Группа высокой экспозиции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&gt; медиана ]</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Бинарная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0/1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Расчётная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Для robustness</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Designated</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Прямая санкционная адресность</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Включение в SDN / Consolidated List</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Бинарная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0/1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OFAC, EU</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 (для затронутых)</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Для robustness</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SuccessfulTransformation</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Композитный критерий успешной трансформации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Раздел 3.11.3</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Бинарная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0/1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Расчётная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r>
        <w:tc>
          <w:tcPr>
            <w:tcW w:type="dxa" w:w="93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Для robustness</w:t>
            </w:r>
          </w:p>
        </w:tc>
        <w:tc>
          <w:tcPr>
            <w:tcW w:type="dxa" w:w="84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Exit</w:t>
            </w:r>
            <w:r>
              <w:rPr>
                <w:rFonts w:ascii="Times New Roman" w:cs="Times New Roman" w:eastAsia="Times New Roman" w:hAnsi="Times New Roman"/>
                <w:sz w:val="24"/>
                <w:szCs w:val="24"/>
                <w:vertAlign w:val="subscript"/>
              </w:rPr>
              <w:t xml:space="preserve">i</w:t>
            </w:r>
          </w:p>
        </w:tc>
        <w:tc>
          <w:tcPr>
            <w:tcW w:type="dxa" w:w="159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Выход из выборки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Делистинг / банкротство / смена контроля, 2022–2024</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Бинарная</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0/1</w:t>
            </w:r>
          </w:p>
        </w:tc>
        <w:tc>
          <w:tcPr>
            <w:tcW w:type="dxa" w:w="121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Реестры, биржевое раскрытие</w:t>
            </w:r>
          </w:p>
        </w:tc>
        <w:tc>
          <w:tcPr>
            <w:tcW w:type="dxa" w:w="1029"/>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spacing w:after="160" w:before="0" w:line="360" w:lineRule="auto"/>
        <w:ind w:firstLine="709"/>
        <w:jc w:val="both"/>
      </w:pPr>
      <w:r>
        <w:rPr>
          <w:rFonts w:ascii="Times New Roman" w:cs="Times New Roman" w:eastAsia="Times New Roman" w:hAnsi="Times New Roman"/>
          <w:sz w:val="28"/>
          <w:szCs w:val="28"/>
        </w:rPr>
        <w:t xml:space="preserve">Показатели, отражающие постшоковую структуру выручки, постшоковую структуру затрат, постшоковую численность персонала и постшоковые расходы на исследования и разработки, в вектор контрольных переменных </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не включаются ни при каких обстоятельствах, поскольку данные показатели являются не альтернативными каналами влияния на индекс трансформации бизнес-модели, а буквально его компонентами либо прямыми наблюдаемыми проявлениями самой трансформации (раздел 3.4). Включение подобных переменных в правую часть уравнения не «очищало» бы оценку коэффициента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от посторонних влияний, а, напротив, контролировало бы эффект интереса через один из его собственных каналов реализации, поглощая часть подлинного эффекта санкционного воздействия (Wooldridge, 2010; Angrist, Pischke, 2009). Контроль допускается только в двух формах: как не меняющаяся во времени, измеренная строго в предсанкционный период характеристика компании, аналогичная по логике конструкции индекса санкционной экспозиции, либо как изменяющийся во времени показатель, для которого отсутствуют содержательные основания считать его каналом трансформации бизнес-модели.</w:t>
      </w:r>
    </w:p>
    <w:p>
      <w:pPr>
        <w:pStyle w:val="Heading2"/>
        <w:spacing w:after="200" w:before="360" w:line="360" w:lineRule="auto"/>
        <w:jc w:val="left"/>
      </w:pPr>
      <w:r>
        <w:rPr>
          <w:rFonts w:ascii="Times New Roman" w:cs="Times New Roman" w:eastAsia="Times New Roman" w:hAnsi="Times New Roman"/>
          <w:b/>
          <w:bCs/>
          <w:sz w:val="28"/>
          <w:szCs w:val="28"/>
        </w:rPr>
        <w:t xml:space="preserve">3.7. Идентификация причинного эффекта посредством метода разности разностей</w:t>
      </w:r>
    </w:p>
    <w:p>
      <w:pPr>
        <w:spacing w:after="160" w:before="0" w:line="360" w:lineRule="auto"/>
        <w:ind w:firstLine="709"/>
        <w:jc w:val="both"/>
      </w:pPr>
      <w:r>
        <w:rPr>
          <w:rFonts w:ascii="Times New Roman" w:cs="Times New Roman" w:eastAsia="Times New Roman" w:hAnsi="Times New Roman"/>
          <w:sz w:val="28"/>
          <w:szCs w:val="28"/>
        </w:rPr>
        <w:t xml:space="preserve">Панельная модель раздела 3.6 устраняет смещение, порождаемое ненаблюдаемой, но неизменной во времени гетерогенностью компаний, однако сама по себе не обеспечивает причинной интерпретации коэффициента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подобная интерпретация требует дополнительной идентификационной стратегии, роль которой в настоящей методике выполняет метод разности разностей. Обязательного методологического комментария заслуживает характер экзогенности воздействия. Обязательный переход значительной части российского рынка на отечественное программное обеспечение нередко описывается в прикладной литературе как естественный эксперимент, разделяющий компании на интеграторов западных решений и разработчиков отечественного стека. Подобная характеристика, однако, не выдерживает критики без существенной оговорки: естественный эксперимент предполагает, что распределение единиц наблюдения между группами воздействия и сравнения как можно ближе к случайному по отношению к ненаблюдаемым детерминантам исхода (Angrist, Pischke, 2009), тогда как выбор компанией стратегии интеграции западных решений или разработки отечественного стека не является случайным: он отражает предсанкционные управленческие решения, склонность к определённой рыночной нише и технологическую культуру фирмы — то есть представляет собой самоотбор в группу воздействия (selection into treatment). Компании, добровольно выбравшие интеграцию западного программного обеспечения до 2022 г., могли находиться на систематически иной траектории развития, чем разработчики отечественного стека, независимо от последующего санкционного шока. По этой причине настоящая методика характеризует анализируемый дизайн как квазиэкспериментальный, идентификационная сила которого опирается не на случайность распределения воздействия, а на выполнение существенно более слабой и, что принципиально важно, частично проверяемой предпосылки параллельных трендов: при отсутствии шока траектории индекса трансформации бизнес-модели в группах с различной интенсивностью экспозиции развивались бы сходным образом. Именно эта предпосылка, а не случайность отбора, образует идентификационный фундамент метода разности разностей в разработанной методике.</w:t>
      </w:r>
    </w:p>
    <w:p>
      <w:pPr>
        <w:spacing w:after="160" w:before="0" w:line="360" w:lineRule="auto"/>
        <w:ind w:firstLine="709"/>
        <w:jc w:val="both"/>
      </w:pPr>
      <w:r>
        <w:rPr>
          <w:rFonts w:ascii="Times New Roman" w:cs="Times New Roman" w:eastAsia="Times New Roman" w:hAnsi="Times New Roman"/>
          <w:sz w:val="28"/>
          <w:szCs w:val="28"/>
        </w:rPr>
        <w:t xml:space="preserve">Дополнительной угрозой идентификации, не сводимой к вопросу случайности отбора, выступает возможное нарушение предпосылки независимости потенциальных исходов единиц наблюдения (SUTVA): компании с низкой санкционной экспозицией, образующие условную группу сравнения, сами получают выгоду от санкционного шока через перераспределение рыночной доли, освобождённой уходом западных конкурентов, вследствие чего их исход не является независимым от факта воздействия на компании с высокой экспозицией. Направление возникающего смещения поддаётся содержательной оценке: поскольку часть прироста индекса трансформации бизнес-модели в группе сравнения также вызвана тем же санкционным шоком, хотя и по другому каналу, оценка коэффициента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при данном нарушении с высокой вероятностью занижает истинную величину эффекта, а не завышает её, что должно учитываться при содержательной интерпретации итоговых результатов.</w:t>
      </w:r>
    </w:p>
    <w:p>
      <w:pPr>
        <w:spacing w:after="160" w:before="0" w:line="360" w:lineRule="auto"/>
        <w:ind w:firstLine="709"/>
        <w:jc w:val="both"/>
      </w:pPr>
      <w:r>
        <w:rPr>
          <w:rFonts w:ascii="Times New Roman" w:cs="Times New Roman" w:eastAsia="Times New Roman" w:hAnsi="Times New Roman"/>
          <w:sz w:val="28"/>
          <w:szCs w:val="28"/>
        </w:rPr>
        <w:t xml:space="preserve">Операционализация воздействия рассматривается в двух вариантах. Бинарная группировка компаний на подгруппы высокой и низкой экспозиции по медиане распределения индекса санкционной экспозиции обеспечивает простую и наглядную интерпретацию коэффициента как среднего эффекта для группы высокой экспозиции, удобную для графической иллюстрации и событийного анализа, однако сопряжена с произвольностью точки разбиения и отбрасыванием внутригрупповой вариации: компании с индексом, близкими к границе с разных сторон, трактуются как принципиально различные, тогда как реально различающиеся по интенсивности компании внутри одной группы — как идентичные. Непрерывная мера интенсивности воздействия, напротив, использует всю доступную информацию о вариации экспозиции, не требует произвольного порога и напрямую соответствует содержанию исследовательского вопроса: оценка влияния санкционных шоков предполагает измерение силы воздействия, а не только его наличия либо отсутствия, что согласуется с современной методологией непрерывного метода разности разностей, формализовавшей условия идентификации причинных параметров при continuous treatment (Callaway, Goodman-Bacon, Sant’Anna, 2024; de Chaisemartin, D’Haultfœuille, 2023). Основной спецификацией методики выступает непрерывная мера воздействия; бинарная группировка сохраняется как обязательная альтернативная спецификация, обеспечивающая более наглядную диагностику предпосылки параллельных трендов и более простую интерпретацию событийного анализа (раздел 3.8).</w:t>
      </w:r>
    </w:p>
    <w:p>
      <w:pPr>
        <w:spacing w:after="160" w:before="0" w:line="360" w:lineRule="auto"/>
        <w:ind w:firstLine="709"/>
        <w:jc w:val="both"/>
      </w:pPr>
      <w:r>
        <w:rPr>
          <w:rFonts w:ascii="Times New Roman" w:cs="Times New Roman" w:eastAsia="Times New Roman" w:hAnsi="Times New Roman"/>
          <w:sz w:val="28"/>
          <w:szCs w:val="28"/>
        </w:rPr>
        <w:t xml:space="preserve">Базовая бинарная спецификация имеет вид:</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ITBM</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α</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λ</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Treat</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ε</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(3.4)</w:t>
      </w:r>
    </w:p>
    <w:p>
      <w:pPr>
        <w:spacing w:after="160" w:before="0" w:line="360" w:lineRule="auto"/>
        <w:ind w:firstLine="709"/>
        <w:jc w:val="both"/>
      </w:pPr>
      <w:r>
        <w:rPr>
          <w:rFonts w:ascii="Times New Roman" w:cs="Times New Roman" w:eastAsia="Times New Roman" w:hAnsi="Times New Roman"/>
          <w:sz w:val="28"/>
          <w:szCs w:val="28"/>
        </w:rPr>
        <w:t xml:space="preserve">Основная непрерывная спецификация имеет вид:</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ITBM</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α</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λ</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ε</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(3.5)</w:t>
      </w:r>
    </w:p>
    <w:p>
      <w:pPr>
        <w:spacing w:after="160" w:before="0"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Treat</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1[ </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&gt; медиана ] — бинарный индикатор группы высокой экспозиции. Единицей наблюдения выступает компания </w:t>
      </w:r>
      <w:r>
        <w:rPr>
          <w:rFonts w:ascii="Times New Roman" w:cs="Times New Roman" w:eastAsia="Times New Roman" w:hAnsi="Times New Roman"/>
          <w:i/>
          <w:iCs/>
          <w:sz w:val="28"/>
          <w:szCs w:val="28"/>
        </w:rPr>
        <w:t xml:space="preserve">i</w:t>
      </w:r>
      <w:r>
        <w:rPr>
          <w:rFonts w:ascii="Times New Roman" w:cs="Times New Roman" w:eastAsia="Times New Roman" w:hAnsi="Times New Roman"/>
          <w:sz w:val="28"/>
          <w:szCs w:val="28"/>
        </w:rPr>
        <w:t xml:space="preserve"> в году </w:t>
      </w:r>
      <w:r>
        <w:rPr>
          <w:rFonts w:ascii="Times New Roman" w:cs="Times New Roman" w:eastAsia="Times New Roman" w:hAnsi="Times New Roman"/>
          <w:i/>
          <w:iCs/>
          <w:sz w:val="28"/>
          <w:szCs w:val="28"/>
        </w:rPr>
        <w:t xml:space="preserve">t</w:t>
      </w:r>
      <w:r>
        <w:rPr>
          <w:rFonts w:ascii="Times New Roman" w:cs="Times New Roman" w:eastAsia="Times New Roman" w:hAnsi="Times New Roman"/>
          <w:sz w:val="28"/>
          <w:szCs w:val="28"/>
        </w:rPr>
        <w:t xml:space="preserve">. Референтной группой в бинарной спецификации служат компании с индексом санкционной экспозиции ниже медианы; референтным периодом — 2019–2021 гг. В непрерывной спецификации референтной группы в строгом смысле не существует: коэффициент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оценивает предельный эффект единицы прироста индекса санкционной экспозиции на изменение индекса трансформации бизнес-модели после шока относительно предсанкционного периода. Экономическая интерпретация коэффициента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состоит в следующем: коэффициент показывает, на сколько стандартных отклонений сильнее изменяется индекс трансформации бизнес-модели компании после 2022 г. при увеличении её предсанкционной экспозиции на единицу шкалы относительно динамики компании с нулевой экспозицией, при контроле за общими для всех компаний временны́ми шоками и индивидуальными неизменными характеристиками. Полученная оценка допускает причинную интерпретацию условно — при выполнении предпосылки параллельных трендов и при отсутствии не учтённых в векторе контрольных переменных факторов, коррелирующих одновременно с индексом санкционной экспозиции и с траекторией индекса трансформации бизнес-модели независимо от шока 2022 г.</w:t>
      </w:r>
    </w:p>
    <w:p>
      <w:pPr>
        <w:spacing w:after="160" w:before="0" w:line="360" w:lineRule="auto"/>
        <w:ind w:firstLine="709"/>
        <w:jc w:val="both"/>
      </w:pPr>
      <w:r>
        <w:rPr>
          <w:rFonts w:ascii="Times New Roman" w:cs="Times New Roman" w:eastAsia="Times New Roman" w:hAnsi="Times New Roman"/>
          <w:sz w:val="28"/>
          <w:szCs w:val="28"/>
        </w:rPr>
        <w:t xml:space="preserve">Проверка гипотезы о гетерогенности эффекта по уровню цифровизации (H2) реализуется расширением спецификации (3.5) до вида (3.3), приведённого в разделе 3.6, что подтверждает единство панельной и quasi-экспериментальной линий настоящей методики.</w:t>
      </w:r>
    </w:p>
    <w:p>
      <w:pPr>
        <w:spacing w:after="160" w:before="0" w:line="360" w:lineRule="auto"/>
        <w:ind w:firstLine="709"/>
        <w:jc w:val="both"/>
      </w:pPr>
      <w:r>
        <w:rPr>
          <w:rFonts w:ascii="Times New Roman" w:cs="Times New Roman" w:eastAsia="Times New Roman" w:hAnsi="Times New Roman"/>
          <w:sz w:val="28"/>
          <w:szCs w:val="28"/>
        </w:rPr>
        <w:t xml:space="preserve">Значительная часть современной литературы о методе разности разностей демонстрирует, что классический двусторонний оценщик с фиксированными эффектами при разновременном введении воздействия и гетерогенных во времени эффектах может давать оценки со смещёнными, в отдельных случаях отрицательными при повсеместно положительных истинных эффектах, весами, поскольку неявно использует в качестве условного контроля в отдельных сравнениях уже подвергшиеся воздействию единицы более ранних периодов (Goodman-Bacon, 2021; de Chaisemartin, D’Haultfœuille, 2020; Sun, Abraham, 2021). Применительно к настоящей методике данное ограничение обладает различной актуальностью для разных частей дизайна. В основной, однокризисной спецификации 2022 г. все компании подвергаются шоку в одну и ту же календарную дату, различаясь исключительно интенсивностью воздействия, а не моментом его начала, вследствие чего классическая проблема разновременного введения воздействия в узком смысле, требующая сопоставления уже обработанных ранних когорт с поздними, не возникает. Тем не менее при непрерывном воздействии сохраняет актуальность родственный результат, согласно которому коэффициент двустороннего оценщика при непрерывном воздействии и гетерогенных по величине воздействия эффектах представляет собой взвешенную сумму предельных эффектов с потенциально отрицательными весами (de Chaisemartin, D’Haultfœuille, 2023), что образует самостоятельное основание для дополнительной проверки через непараметрическую оценку зависимости отклика от дозы воздействия (раздел 3.9) как перекрёстную проверку линейной спецификации. Для двухволнового дизайна, привлекающего санкционные эпизоды 2014 и 2022 гг. (раздел 3.11.6), вариация в моменте начала воздействия присутствует по построению, что делает применение оценщиков, робастных к разновременному введению воздействия, — оценщика Кэллуэй и Сант’Анна (Callaway, Sant’Anna, 2021) либо интеракционно-взвешенного оценщика Сан и Абрахам (Sun, Abraham, 2021) — методологически обязательным, а не факультативным дополнением при реализации данного расширения.</w:t>
      </w:r>
    </w:p>
    <w:p>
      <w:pPr>
        <w:pStyle w:val="Heading2"/>
        <w:spacing w:after="200" w:before="360" w:line="360" w:lineRule="auto"/>
        <w:jc w:val="left"/>
      </w:pPr>
      <w:r>
        <w:rPr>
          <w:rFonts w:ascii="Times New Roman" w:cs="Times New Roman" w:eastAsia="Times New Roman" w:hAnsi="Times New Roman"/>
          <w:b/>
          <w:bCs/>
          <w:sz w:val="28"/>
          <w:szCs w:val="28"/>
        </w:rPr>
        <w:t xml:space="preserve">3.8. Анализ динамики эффекта и проверка предпосылки параллельных трендов</w:t>
      </w:r>
    </w:p>
    <w:p>
      <w:pPr>
        <w:spacing w:after="160" w:before="0" w:line="360" w:lineRule="auto"/>
        <w:ind w:firstLine="709"/>
        <w:jc w:val="both"/>
      </w:pPr>
      <w:r>
        <w:rPr>
          <w:rFonts w:ascii="Times New Roman" w:cs="Times New Roman" w:eastAsia="Times New Roman" w:hAnsi="Times New Roman"/>
          <w:sz w:val="28"/>
          <w:szCs w:val="28"/>
        </w:rPr>
        <w:t xml:space="preserve">Понятие событийного анализа (event study) объединяет два содержательно и технически различных инструмента, смешение которых представляет собой распространённую методологическую неточность. Первый — классический финансовый событийный анализ, основанный на оценке аномальной доходности акций (cumulative abnormal return) вокруг конкретных календарных дат — введения ключевых пакетов санкций, объявлений об уходе крупных вендоров — относительно нормальной доходности, рассчитанной по рыночной модели за предшествующее «чистое» окно (MacKinlay, 1997). Данный инструмент применим исключительно к компаниям, чьи акции обращаются на организованном рынке, и играет во всей методике вспомогательную, диагностическую роль: он позволяет объективно, по независимому от бухгалтерской отчётности источнику информации, локализовать даты, в которые рынок воспринял произошедшее как содержательный структурный разрыв, что используется для уточнения границы постшокового периода. Второй инструмент — панельная событийная регрессия, динамическая спецификация с лидами и лагами относительно момента шока, — отвечает на содержательно иные вопросы: как развивается эффект во времени, выполняется ли предпосылка параллельных трендов и с каким лагом бизнес-модель реагирует на шок (гипотеза H3). Именно панельная событийная регрессия, а не методология аномальной доходности, образует основной инструмент настоящего раздела.</w:t>
      </w:r>
    </w:p>
    <w:p>
      <w:pPr>
        <w:spacing w:after="160" w:before="0" w:line="360" w:lineRule="auto"/>
        <w:ind w:firstLine="709"/>
        <w:jc w:val="both"/>
      </w:pPr>
      <w:r>
        <w:rPr>
          <w:rFonts w:ascii="Times New Roman" w:cs="Times New Roman" w:eastAsia="Times New Roman" w:hAnsi="Times New Roman"/>
          <w:sz w:val="28"/>
          <w:szCs w:val="28"/>
        </w:rPr>
        <w:t xml:space="preserve">Формальная спецификация имеет вид:</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ITBM</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α</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λ</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Σ</w:t>
      </w:r>
      <w:r>
        <w:rPr>
          <w:rFonts w:ascii="Times New Roman" w:cs="Times New Roman" w:eastAsia="Times New Roman" w:hAnsi="Times New Roman"/>
          <w:sz w:val="28"/>
          <w:szCs w:val="28"/>
          <w:vertAlign w:val="subscript"/>
        </w:rPr>
        <w:t xml:space="preserve">k=-3, k≠-1</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1[ </w:t>
      </w:r>
      <w:r>
        <w:rPr>
          <w:rFonts w:ascii="Times New Roman" w:cs="Times New Roman" w:eastAsia="Times New Roman" w:hAnsi="Times New Roman"/>
          <w:i/>
          <w:iCs/>
          <w:sz w:val="28"/>
          <w:szCs w:val="28"/>
        </w:rPr>
        <w:t xml:space="preserve">t</w:t>
      </w:r>
      <w:r>
        <w:rPr>
          <w:rFonts w:ascii="Times New Roman" w:cs="Times New Roman" w:eastAsia="Times New Roman" w:hAnsi="Times New Roman"/>
          <w:sz w:val="28"/>
          <w:szCs w:val="28"/>
        </w:rPr>
        <w:t xml:space="preserve"> = 2022+</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 +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ε</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(3.6)</w:t>
      </w:r>
    </w:p>
    <w:p>
      <w:pPr>
        <w:spacing w:after="160" w:before="0"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 –1, соответствующий 2021 г. — последнему предшоковому году, — фиксируется как референтный период с коэффициентом, нормированным к нулю во избежание совершенной мультиколлинеарности с фиксированными эффектами;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 0 соответствует 2022 г.;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 1, 2 — лагам 2023 и 2024 гг.;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 –3, –2 — лидам 2019 и 2020 гг.</w:t>
      </w:r>
    </w:p>
    <w:p>
      <w:pPr>
        <w:spacing w:after="160" w:before="0" w:line="360" w:lineRule="auto"/>
        <w:ind w:firstLine="709"/>
        <w:jc w:val="both"/>
      </w:pPr>
      <w:r>
        <w:rPr>
          <w:rFonts w:ascii="Times New Roman" w:cs="Times New Roman" w:eastAsia="Times New Roman" w:hAnsi="Times New Roman"/>
          <w:sz w:val="28"/>
          <w:szCs w:val="28"/>
        </w:rPr>
        <w:t xml:space="preserve">Проверка предпосылки параллельных трендов операционализируется как совместная статистическая незначимость коэффициентов при лидах, </w:t>
      </w:r>
      <w:r>
        <w:rPr>
          <w:rFonts w:ascii="Times New Roman" w:cs="Times New Roman" w:eastAsia="Times New Roman" w:hAnsi="Times New Roman"/>
          <w:i/>
          <w:iCs/>
          <w:sz w:val="28"/>
          <w:szCs w:val="28"/>
        </w:rPr>
        <w:t xml:space="preserve">H</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 проверяемая тестом Вальда, и дополняется графическим сопоставлением траекторий среднего индекса трансформации бизнес-модели в группах высокой и низкой экспозиции на протяжении всего периода наблюдения. Отсутствие статистически значимых коэффициентов при лидах не является, однако, абсолютным доказательством выполнения предпосылки параллельных трендов — оно означает лишь отсутствие статистических оснований её отвергнуть, что при ограниченном объёме выборки может быть следствием недостаточной мощности теста, а не действительного отсутствия различий в трендах. Более того, обусловливание итоговой оценки эффекта на результате предварительного теста на предшоковые тренды — практика, при которой оценивание продолжается «как обычно» лишь при условии, что тест не отверг нулевую гипотезу, — само по себе искажает свойства последующего оценивания, способно усугублять смещение и занижать фактическое покрытие доверительных интервалов (Roth, 2022). По этой причине методика не ограничивается пороговым критерием «прошли или не прошли проверку», а рассматривает профиль коэффициентов при лидах как самостоятельный, содержательно интерпретируемый результат, а не только диагностический фильтр, что соответствует рекомендациям синтеза современной литературы о методе разности разностей (Roth, Sant’Anna, Bilinski, Poe, 2023).</w:t>
      </w:r>
    </w:p>
    <w:p>
      <w:pPr>
        <w:spacing w:after="160" w:before="0" w:line="360" w:lineRule="auto"/>
        <w:ind w:firstLine="709"/>
        <w:jc w:val="both"/>
      </w:pPr>
      <w:r>
        <w:rPr>
          <w:rFonts w:ascii="Times New Roman" w:cs="Times New Roman" w:eastAsia="Times New Roman" w:hAnsi="Times New Roman"/>
          <w:sz w:val="28"/>
          <w:szCs w:val="28"/>
        </w:rPr>
        <w:t xml:space="preserve">Гипотеза о лаговом характере эффекта (H3) находит эмпирическое воплощение в ожидаемом профиле коэффициентов при лагах: реконфигурация ресурсной базы, партнёрской сети и продуктового портфеля сопряжена с издержками корректировки, несовместимыми с мгновенным приспособлением бизнес-модели в течение одного отчётного года, вследствие чего теоретически ожидается нарастающая, а не мгновенно проявляющаяся и не мгновенно затухающая динамика коэффициентов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по мере удаления от момента шока. Плоская во времени либо немедленно затухающая динамика, напротив, ставила бы под сомнение содержательную интерпретацию индекса трансформации бизнес-модели как индикатора структурной, а не косметической адаптации. Панельная событийная спецификация выполняет, таким образом, одновременно три функции: диагностику параллельных трендов через коэффициенты при лидах, содержательную проверку лаговой гипотезы через коэффициенты при лагах и, при реализации двухволнового расширения (раздел 3.11.6), базовую конструкцию, обобщаемую до интеракционно-взвешенного оценщика Сан и Абрахам, учитывающего гетерогенность эффектов по когортам (Sun, Abraham, 2021).</w:t>
      </w:r>
    </w:p>
    <w:p>
      <w:pPr>
        <w:pStyle w:val="Heading2"/>
        <w:spacing w:after="200" w:before="360" w:line="360" w:lineRule="auto"/>
        <w:jc w:val="left"/>
      </w:pPr>
      <w:r>
        <w:rPr>
          <w:rFonts w:ascii="Times New Roman" w:cs="Times New Roman" w:eastAsia="Times New Roman" w:hAnsi="Times New Roman"/>
          <w:b/>
          <w:bCs/>
          <w:sz w:val="28"/>
          <w:szCs w:val="28"/>
        </w:rPr>
        <w:t xml:space="preserve">3.9. Анализ нелинейности и пороговых эффектов</w:t>
      </w:r>
    </w:p>
    <w:p>
      <w:pPr>
        <w:spacing w:after="160" w:before="0" w:line="360" w:lineRule="auto"/>
        <w:ind w:firstLine="709"/>
        <w:jc w:val="both"/>
      </w:pPr>
      <w:r>
        <w:rPr>
          <w:rFonts w:ascii="Times New Roman" w:cs="Times New Roman" w:eastAsia="Times New Roman" w:hAnsi="Times New Roman"/>
          <w:sz w:val="28"/>
          <w:szCs w:val="28"/>
        </w:rPr>
        <w:t xml:space="preserve">Наряду с линейной гипотезой H1 выдвигается гипотеза о нелинейном характере зависимости трансформации бизнес-модели от интенсивности санкционного давления (H4), подлежащая самостоятельной эмпирической проверке, а не принимаемая априори: при умеренном уровне экспозиции трансформация предположительно носит ограниченный, точечный характер в рамках существующей бизнес-логики, тогда как при достижении критического уровня экспозиции происходит качественный переход к более глубокой структурной перестройке. Формально данная гипотеза представляет собой предположение о наличии структурного разрыва (structural break) в зависимости индекса трансформации бизнес-модели от индекса санкционной экспозиции по непрерывной переменной, а не по времени, как в классическом тесте Чоу, что обусловливает применение метода пороговой регрессии для панельных данных, предложенного Хансеном (Hansen, 1999).</w:t>
      </w:r>
    </w:p>
    <w:p>
      <w:pPr>
        <w:spacing w:after="160" w:before="0" w:line="360" w:lineRule="auto"/>
        <w:ind w:firstLine="709"/>
        <w:jc w:val="both"/>
      </w:pPr>
      <w:r>
        <w:rPr>
          <w:rFonts w:ascii="Times New Roman" w:cs="Times New Roman" w:eastAsia="Times New Roman" w:hAnsi="Times New Roman"/>
          <w:sz w:val="28"/>
          <w:szCs w:val="28"/>
        </w:rPr>
        <w:t xml:space="preserve">Формальная модель имеет вид:</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ITBM</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α</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λ</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1[ </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 ·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1[ </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&gt;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 ·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ε</w:t>
      </w:r>
      <w:r>
        <w:rPr>
          <w:rFonts w:ascii="Times New Roman" w:cs="Times New Roman" w:eastAsia="Times New Roman" w:hAnsi="Times New Roman"/>
          <w:sz w:val="28"/>
          <w:szCs w:val="28"/>
          <w:vertAlign w:val="subscript"/>
        </w:rPr>
        <w:t xml:space="preserve">it</w:t>
      </w:r>
      <w:r>
        <w:rPr>
          <w:rFonts w:ascii="Times New Roman" w:cs="Times New Roman" w:eastAsia="Times New Roman" w:hAnsi="Times New Roman"/>
          <w:sz w:val="28"/>
          <w:szCs w:val="28"/>
        </w:rPr>
        <w:t xml:space="preserve">	(3.7)</w:t>
      </w:r>
    </w:p>
    <w:p>
      <w:pPr>
        <w:spacing w:after="160" w:before="0"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 неизвестное пороговое значение индекса санкционной экспозиции, разделяющее выборку на режим ограниченной адаптации, описываемый коэффициентом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и режим глубокой структурной перестройки, описываемый коэффициентом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Порог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эндогенен в том смысле, что не задаётся исследователем априорно, а оценивается непосредственно из данных методом минимизации суммы квадратов остатков по сетке возможных значений: для каждого кандидатного значения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модель оценивается отдельно для двух режимов, и выбирается значение, минимизирующее остаточную сумму квадратов по всей выборке. Статистическая значимость самого факта наличия порога против альтернативы единой линейной спецификации проверяется бутстрэп-процедурой Хансена, поскольку стандартное распределение теста отношения правдоподобия в данном случае нестандартно вследствие того, что параметр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не идентифицируется при нулевой гипотезе отсутствия порога; доверительный интервал для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строится посредством инверсии статистики отношения правдоподобия, что также требует бутстрэп-процедуры, а не асимптотических стандартных ошибок.</w:t>
      </w:r>
    </w:p>
    <w:p>
      <w:pPr>
        <w:spacing w:after="160" w:before="0" w:line="360" w:lineRule="auto"/>
        <w:ind w:firstLine="709"/>
        <w:jc w:val="both"/>
      </w:pPr>
      <w:r>
        <w:rPr>
          <w:rFonts w:ascii="Times New Roman" w:cs="Times New Roman" w:eastAsia="Times New Roman" w:hAnsi="Times New Roman"/>
          <w:sz w:val="28"/>
          <w:szCs w:val="28"/>
        </w:rPr>
        <w:t xml:space="preserve">Найденное значение порога, при статистической значимости соответствующего теста, подлежит интерпретации как эмпирическая оценка критического уровня предсанкционной интеграции компании в западные технологические, рыночные и финансовые контуры, при превышении которого точечная адаптация перестаёт быть достаточной стратегией и запускается качественно иной, более глубокий режим реконфигурации бизнес-модели, — результат, обладающий непосредственным прикладным значением как индикативный ориентир оценки уязвимости компании к будущим санкционным режимам.</w:t>
      </w:r>
    </w:p>
    <w:p>
      <w:pPr>
        <w:spacing w:after="160" w:before="0" w:line="360" w:lineRule="auto"/>
        <w:ind w:firstLine="709"/>
        <w:jc w:val="both"/>
      </w:pPr>
      <w:r>
        <w:rPr>
          <w:rFonts w:ascii="Times New Roman" w:cs="Times New Roman" w:eastAsia="Times New Roman" w:hAnsi="Times New Roman"/>
          <w:sz w:val="28"/>
          <w:szCs w:val="28"/>
        </w:rPr>
        <w:t xml:space="preserve">Применение данного метода сопряжено с ограничением, требующим явной оговорки, а не замалчивания. При реалистичном объёме основной выборки — порядка 15–25 компаний и 90–150 наблюдений «компания-год» — оценивание порога и в особенности бутстрэп-проверка его статистической значимости обладают ограниченной мощностью: число наблюдений по обе стороны кандидатного порога при переборе сетки может оказаться крайне малым для части значений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что расширяет доверительный интервал до слабо информативного вне зависимости от того, существует ли пороговый эффект содержательно. Методика предписывает сообщать не только точечную оценку порога, но и ширину бутстрэп-доверительного интервала как самостоятельный результат; если бутстрэп-тест не отвергает линейную альтернативу либо доверительный интервал покрывает практически весь диапазон индекса санкционной экспозиции, соответствующий вывод квалифицируется как недостаточность данных для содержательного заключения о наличии порога, а не форсируется в пользу пороговой интерпретации. В качестве менее ресурсоёмкой по числу оцениваемых параметров альтернативы, устойчивой при малом объёме выборки, рассматривается квадратичная спецификация с включением слагаемого </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не требующая оценивания дополнительного параметра </w:t>
      </w:r>
      <w:r>
        <w:rPr>
          <w:rFonts w:ascii="Times New Roman" w:cs="Times New Roman" w:eastAsia="Times New Roman" w:hAnsi="Times New Roman"/>
          <w:i/>
          <w:iCs/>
          <w:sz w:val="28"/>
          <w:szCs w:val="28"/>
        </w:rPr>
        <w:t xml:space="preserve">γ</w:t>
      </w:r>
      <w:r>
        <w:rPr>
          <w:rFonts w:ascii="Times New Roman" w:cs="Times New Roman" w:eastAsia="Times New Roman" w:hAnsi="Times New Roman"/>
          <w:sz w:val="28"/>
          <w:szCs w:val="28"/>
        </w:rPr>
        <w:t xml:space="preserve"> и используемая как перекрёстная проверка направления и приблизительной формы нелинейности при недостаточной мощности полной пороговой модели.</w:t>
      </w:r>
    </w:p>
    <w:p>
      <w:pPr>
        <w:pStyle w:val="Heading2"/>
        <w:spacing w:after="200" w:before="360" w:line="360" w:lineRule="auto"/>
        <w:jc w:val="left"/>
      </w:pPr>
      <w:r>
        <w:rPr>
          <w:rFonts w:ascii="Times New Roman" w:cs="Times New Roman" w:eastAsia="Times New Roman" w:hAnsi="Times New Roman"/>
          <w:b/>
          <w:bCs/>
          <w:sz w:val="28"/>
          <w:szCs w:val="28"/>
        </w:rPr>
        <w:t xml:space="preserve">3.10. Анализ неоднородности воздействия</w:t>
      </w:r>
    </w:p>
    <w:p>
      <w:pPr>
        <w:spacing w:after="160" w:before="0" w:line="360" w:lineRule="auto"/>
        <w:ind w:firstLine="709"/>
        <w:jc w:val="both"/>
      </w:pPr>
      <w:r>
        <w:rPr>
          <w:rFonts w:ascii="Times New Roman" w:cs="Times New Roman" w:eastAsia="Times New Roman" w:hAnsi="Times New Roman"/>
          <w:sz w:val="28"/>
          <w:szCs w:val="28"/>
        </w:rPr>
        <w:t xml:space="preserve">Основной канал гетерогенности воздействия — по уровню цифровизации и технологического потенциала компании — формализован непосредственно в спецификациях (3.3) и (3.5) через тройное взаимодействие с индикатором постшокового периода и составляет содержание гипотезы H2. Направление данной гетерогенности, как показано в разделе 3.2, теоретически не определено: значимый положительный коэффициент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свидетельствовал бы в пользу механизма комплементарности, при котором технологический потенциал обеспечивает организационный слэк для более глубокой реконфигурации, тогда как значимый отрицательный коэффициент свидетельствовал бы в пользу механизма субституции, при котором тот же потенциал снижает предельные издержки точечной адаптации, делая масштабную перестройку менее необходимой. Разграничение этих двух теоретически равноправных интерпретаций возможно только по результатам эмпирической оценки.</w:t>
      </w:r>
    </w:p>
    <w:p>
      <w:pPr>
        <w:spacing w:after="160" w:before="0" w:line="360" w:lineRule="auto"/>
        <w:ind w:firstLine="709"/>
        <w:jc w:val="both"/>
      </w:pPr>
      <w:r>
        <w:rPr>
          <w:rFonts w:ascii="Times New Roman" w:cs="Times New Roman" w:eastAsia="Times New Roman" w:hAnsi="Times New Roman"/>
          <w:sz w:val="28"/>
          <w:szCs w:val="28"/>
        </w:rPr>
        <w:t xml:space="preserve">Дополнительно рассматриваются три содержательно значимых измерения гетерогенности, каждое из которых оценивается тем же способом — включением соответствующего тройного взаимодействия с произведением индекса санкционной экспозиции и индикатора постшокового периода. Гетерогенность по IT-сегменту — кибербезопасность, разработка программного обеспечения, системная интеграция, IT-услуги — содержательно ожидаема постольку, поскольку сегменты структурно различаются по каналу воздействия санкций: уход западных конкурентов создаёт для разработчиков решений в области кибербезопасности возможность роста рыночной доли, тогда как для интеграторов западных решений тот же уход конкурентов означает одновременную потерю собственной продуктовой базы. Гетерогенность по ориентации на государственный сектор, измеряемой предсанкционной долей выручки от государственных заказчиков, ожидаемо отрицательна по отношению к величине необходимой трансформации, поскольку компании с изначально высокой такой долей обладают более коротким и предсказуемым путём адаптации через дальнейшее наращивание государственного заказа. Гетерогенность по размеру компании теоретически разнонаправлена: крупные компании потенциально обладают большим организационным слэком для глубокой реконфигурации, но одновременно большей инерцией существующей бизнес-модели, обусловленной зависимостью от предшествующей траектории развития. Направление каждой из перечисленных зависимостей подлежит эмпирической проверке, а не постулируется априорно.</w:t>
      </w:r>
    </w:p>
    <w:p>
      <w:pPr>
        <w:pStyle w:val="Heading2"/>
        <w:spacing w:after="200" w:before="360" w:line="360" w:lineRule="auto"/>
        <w:jc w:val="left"/>
      </w:pPr>
      <w:r>
        <w:rPr>
          <w:rFonts w:ascii="Times New Roman" w:cs="Times New Roman" w:eastAsia="Times New Roman" w:hAnsi="Times New Roman"/>
          <w:b/>
          <w:bCs/>
          <w:sz w:val="28"/>
          <w:szCs w:val="28"/>
        </w:rPr>
        <w:t xml:space="preserve">3.11. Проверка устойчивости результатов</w:t>
      </w:r>
    </w:p>
    <w:p>
      <w:pPr>
        <w:spacing w:after="160" w:before="0" w:line="360" w:lineRule="auto"/>
        <w:ind w:firstLine="709"/>
        <w:jc w:val="both"/>
      </w:pPr>
      <w:r>
        <w:rPr>
          <w:rFonts w:ascii="Times New Roman" w:cs="Times New Roman" w:eastAsia="Times New Roman" w:hAnsi="Times New Roman"/>
          <w:sz w:val="28"/>
          <w:szCs w:val="28"/>
        </w:rPr>
        <w:t xml:space="preserve">Совокупность рассмотренных спецификаций образует не произвольный перечень эконометрических инструментов, а иерархически организованную систему, каждый уровень которой решает собственную, не дублируемую иными уровнями исследовательскую задачу (таблица 3.4). Панельная модель с фиксированными эффектами устраняет смещение от ненаблюдаемой, но неизменной во времени гетерогенности фирм — задачу, которую метод разности разностей сам по себе не решает. Метод разности разностей добавляет к этому причинную, а не только ассоциативную интерпретацию коэффициента при экспозиции — задачу, которую панельная модель без quasi-экспериментальной логики параллельных трендов не решает. Событийный анализ решает задачу, которую статичная спецификация разности разностей принципиально решить не может, — проверку самой идентифицирующей предпосылки и содержательную проверку гипотезы о лаге эффекта. Пороговая регрессия отвечает на вопрос о форме зависимости, который ни панельная модель, ни метод разности разностей, ни событийный анализ не задают по построению, поскольку все три в базовом виде постулируют линейность. Синтетический метод разности разностей решает задачу построения контрфактической траектории для отдельной фирмы — задачу, для которой панельные методы, оперирующие усреднёнными по группе коэффициентами, не приспособлены. Логит- и пробит-модели решают задачу проверки устойчивости результата к самому определению зависимой переменной и задачу количественной оценки угрозы смещения вследствие выбывания компаний из выборки. Ни один из перечисленных инструментов не является взаимозаменяемым по отношению к другому: изъятие любого из них оставляет соответствующий содержательный вопрос без ответа.</w:t>
      </w:r>
    </w:p>
    <w:p>
      <w:pPr>
        <w:spacing w:after="120" w:before="240"/>
        <w:jc w:val="left"/>
      </w:pPr>
      <w:r>
        <w:rPr>
          <w:rFonts w:ascii="Times New Roman" w:cs="Times New Roman" w:eastAsia="Times New Roman" w:hAnsi="Times New Roman"/>
          <w:sz w:val="28"/>
          <w:szCs w:val="28"/>
        </w:rPr>
        <w:t xml:space="preserve">Таблица 3.4 — Эконометрические модели исследования</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497"/>
        <w:gridCol w:w="1497"/>
        <w:gridCol w:w="1871"/>
        <w:gridCol w:w="2058"/>
        <w:gridCol w:w="2432"/>
      </w:tblGrid>
      <w:tr>
        <w:trPr>
          <w:tblHeader/>
        </w:trPr>
        <w:tc>
          <w:tcPr>
            <w:tcW w:type="dxa" w:w="1497"/>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Модель</w:t>
            </w:r>
          </w:p>
        </w:tc>
        <w:tc>
          <w:tcPr>
            <w:tcW w:type="dxa" w:w="1497"/>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Зависимая переменная</w:t>
            </w:r>
          </w:p>
        </w:tc>
        <w:tc>
          <w:tcPr>
            <w:tcW w:type="dxa" w:w="1871"/>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Основная переменная интереса</w:t>
            </w:r>
          </w:p>
        </w:tc>
        <w:tc>
          <w:tcPr>
            <w:tcW w:type="dxa" w:w="2058"/>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Метод оценки</w:t>
            </w:r>
          </w:p>
        </w:tc>
        <w:tc>
          <w:tcPr>
            <w:tcW w:type="dxa" w:w="2432"/>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Основная задача</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Панельная модель с фиксированными эффектами</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ITBM</w:t>
            </w:r>
            <w:r>
              <w:rPr>
                <w:rFonts w:ascii="Times New Roman" w:cs="Times New Roman" w:eastAsia="Times New Roman" w:hAnsi="Times New Roman"/>
                <w:sz w:val="24"/>
                <w:szCs w:val="24"/>
                <w:vertAlign w:val="subscript"/>
              </w:rPr>
              <w:t xml:space="preserve">it</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Post</w:t>
            </w:r>
            <w:r>
              <w:rPr>
                <w:rFonts w:ascii="Times New Roman" w:cs="Times New Roman" w:eastAsia="Times New Roman" w:hAnsi="Times New Roman"/>
                <w:sz w:val="24"/>
                <w:szCs w:val="24"/>
                <w:vertAlign w:val="subscript"/>
              </w:rPr>
              <w:t xml:space="preserve">t</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Two-way FE, кластеризованные стандартные ошибки</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Учёт ненаблюдаемой неизменной во времени гетерогенности фирм</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Разность разностей (непрерывная и бинарная)</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ITBM</w:t>
            </w:r>
            <w:r>
              <w:rPr>
                <w:rFonts w:ascii="Times New Roman" w:cs="Times New Roman" w:eastAsia="Times New Roman" w:hAnsi="Times New Roman"/>
                <w:sz w:val="24"/>
                <w:szCs w:val="24"/>
                <w:vertAlign w:val="subscript"/>
              </w:rPr>
              <w:t xml:space="preserve">it</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Post</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Treat</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Post</w:t>
            </w:r>
            <w:r>
              <w:rPr>
                <w:rFonts w:ascii="Times New Roman" w:cs="Times New Roman" w:eastAsia="Times New Roman" w:hAnsi="Times New Roman"/>
                <w:sz w:val="24"/>
                <w:szCs w:val="24"/>
                <w:vertAlign w:val="subscript"/>
              </w:rPr>
              <w:t xml:space="preserve">t</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Two-way FE в рамках quasi-экспериментального дизайна</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Причинная идентификация эффекта интенсивности воздействия</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Панельная событийная регрессия</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ITBM</w:t>
            </w:r>
            <w:r>
              <w:rPr>
                <w:rFonts w:ascii="Times New Roman" w:cs="Times New Roman" w:eastAsia="Times New Roman" w:hAnsi="Times New Roman"/>
                <w:sz w:val="24"/>
                <w:szCs w:val="24"/>
                <w:vertAlign w:val="subscript"/>
              </w:rPr>
              <w:t xml:space="preserve">it</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лид/лаг</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FE с полным набором лидов и лагов</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Проверка параллельных трендов; динамика и лаг эффекта (H3)</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Пороговая регрессия Хансена</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ITBM</w:t>
            </w:r>
            <w:r>
              <w:rPr>
                <w:rFonts w:ascii="Times New Roman" w:cs="Times New Roman" w:eastAsia="Times New Roman" w:hAnsi="Times New Roman"/>
                <w:sz w:val="24"/>
                <w:szCs w:val="24"/>
                <w:vertAlign w:val="subscript"/>
              </w:rPr>
              <w:t xml:space="preserve">it</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по обе стороны порога </w:t>
            </w:r>
            <w:r>
              <w:rPr>
                <w:rFonts w:ascii="Times New Roman" w:cs="Times New Roman" w:eastAsia="Times New Roman" w:hAnsi="Times New Roman"/>
                <w:i/>
                <w:iCs/>
                <w:sz w:val="24"/>
                <w:szCs w:val="24"/>
              </w:rPr>
              <w:t xml:space="preserve">γ</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Grid search + бутстрэп</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Проверка нелинейности воздействия (H4)</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Synthetic DiD / synthetic control</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ITBM</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и финансовые прокси-показатели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Фактическая vs синтетическая траектория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Взвешивание доноров + временны́е эффекты</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Контрфактическая иллюстрация для отдельного кейса</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Логит / пробит</w:t>
            </w:r>
          </w:p>
        </w:tc>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SuccessfulTransformation</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Exit</w:t>
            </w:r>
            <w:r>
              <w:rPr>
                <w:rFonts w:ascii="Times New Roman" w:cs="Times New Roman" w:eastAsia="Times New Roman" w:hAnsi="Times New Roman"/>
                <w:sz w:val="24"/>
                <w:szCs w:val="24"/>
                <w:vertAlign w:val="subscript"/>
              </w:rPr>
              <w:t xml:space="preserve">i</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Максимальное правдоподобие</w:t>
            </w:r>
          </w:p>
        </w:tc>
        <w:tc>
          <w:tcPr>
            <w:tcW w:type="dxa" w:w="2432"/>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Робастность к операционализации DV; оценка survivorship bias</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pStyle w:val="Heading3"/>
        <w:spacing w:after="160" w:before="260" w:line="360" w:lineRule="auto"/>
        <w:jc w:val="left"/>
      </w:pPr>
      <w:r>
        <w:rPr>
          <w:rFonts w:ascii="Times New Roman" w:cs="Times New Roman" w:eastAsia="Times New Roman" w:hAnsi="Times New Roman"/>
          <w:b/>
          <w:bCs/>
          <w:i/>
          <w:iCs/>
          <w:sz w:val="26"/>
          <w:szCs w:val="26"/>
        </w:rPr>
        <w:t xml:space="preserve">3.11.1. Источники угроз идентификации</w:t>
      </w:r>
    </w:p>
    <w:p>
      <w:pPr>
        <w:spacing w:after="160" w:before="0" w:line="360" w:lineRule="auto"/>
        <w:ind w:firstLine="709"/>
        <w:jc w:val="both"/>
      </w:pPr>
      <w:r>
        <w:rPr>
          <w:rFonts w:ascii="Times New Roman" w:cs="Times New Roman" w:eastAsia="Times New Roman" w:hAnsi="Times New Roman"/>
          <w:sz w:val="28"/>
          <w:szCs w:val="28"/>
        </w:rPr>
        <w:t xml:space="preserve">Системное представление угроз идентификации причинного эффекта и способов их нейтрализации в разработанной методике приведено в таблице 3.7. Каждая угроза сопровождается указанием механизма её возникновения, вероятного направления смещения оценки и конкретного метода контроля, применяемого в методике, — что отличает представленный перечень от формальной оговорки о существовании ограничений.</w:t>
      </w:r>
    </w:p>
    <w:p>
      <w:pPr>
        <w:spacing w:after="120" w:before="240"/>
        <w:jc w:val="left"/>
      </w:pPr>
      <w:r>
        <w:rPr>
          <w:rFonts w:ascii="Times New Roman" w:cs="Times New Roman" w:eastAsia="Times New Roman" w:hAnsi="Times New Roman"/>
          <w:sz w:val="28"/>
          <w:szCs w:val="28"/>
        </w:rPr>
        <w:t xml:space="preserve">Таблица 3.7 — Источники угроз идентификации и способы их устранения</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497"/>
        <w:gridCol w:w="2994"/>
        <w:gridCol w:w="1871"/>
        <w:gridCol w:w="2994"/>
      </w:tblGrid>
      <w:tr>
        <w:trPr>
          <w:tblHeader/>
        </w:trPr>
        <w:tc>
          <w:tcPr>
            <w:tcW w:type="dxa" w:w="1497"/>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Угроза</w:t>
            </w:r>
          </w:p>
        </w:tc>
        <w:tc>
          <w:tcPr>
            <w:tcW w:type="dxa" w:w="299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Механизм возникновения</w:t>
            </w:r>
          </w:p>
        </w:tc>
        <w:tc>
          <w:tcPr>
            <w:tcW w:type="dxa" w:w="1871"/>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Возможное направление смещения</w:t>
            </w:r>
          </w:p>
        </w:tc>
        <w:tc>
          <w:tcPr>
            <w:tcW w:type="dxa" w:w="299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Метод контроля / проверки</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Обратная причинность</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Экспозиция, измеренная постфактум, отражала бы уже произошедшую трансформацию</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Смещение к нулю либо смена знака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Измерение </w:t>
            </w: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исключительно по предсанкционным (2019–2021) данным (раздел 3.3)</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Ненаблюдаемая гетерогенность фирм</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Качество менеджмента, организационная культура коррелируют и с экспозицией, и с траекторией ИТБМ</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Неопределённое априори, вероятно смещение вверх</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Индивидуальные фиксированные эффекты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предшоковые контрольные переменные</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Смещение отбора в выборку</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Выборка ограничена компаниями, ведущими публичное раскрытие</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Отсутствие автоматической обобщаемости на непубличные компании</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Разграничение основной / расширенной выборки (раздел 3.5)</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Смещение вследствие выбывания</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Компании с экстремальной экспозицией могли выйти из выборки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Смещение вниз по модулю оценки</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Несбалансированная панель; отдельная Probit/Logit-модель выбывания (раздел 3.11.5)</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Ошибка измерения</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Неточность операционализации ИТБМ и ИСЭК, особенно компонентов, требующих контент-анализа</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Смещение оценки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к нулю</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Множественные способы агрегирования; PCA как перекрёстная проверка (раздел 3.4)</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Структурная эндогенность экспозиции</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Даже предшоковая </w:t>
            </w: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результат стратегического выбора компании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Аналогично проблеме эндогенности shift-share инструментов</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Формальная проверка параллельных трендов (раздел 3.8)</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Нарушение SUTVA</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Контрольная группа выигрывает от того же шока через перераспределение рыночной доли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Смещение вниз по модулю оценки</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Явный учёт направления смещения при интерпретации; falsification-тест</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Общие макрошоки (COVID-19 и др.)</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Пандемийный и иные шоки затрагивают все компании одновременно с санкционным шоком</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Смещение вверх при положительной корреляции с экспозицией</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Временны́е фиксированные эффекты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исключение 2020 г. как robustness-проверка</w:t>
            </w:r>
          </w:p>
        </w:tc>
      </w:tr>
      <w:tr>
        <w:tc>
          <w:tcPr>
            <w:tcW w:type="dxa" w:w="1497"/>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Co-treatment донорского пула</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Российские компании-аналоги подвержены тому же макрошоку, что и treated unit</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Смещённая синтетическая траектория</w:t>
            </w:r>
          </w:p>
        </w:tc>
        <w:tc>
          <w:tcPr>
            <w:tcW w:type="dxa" w:w="299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Synthetic DiD вместо классического synthetic control (раздел 3.11.4)</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spacing w:after="160" w:before="0" w:line="360" w:lineRule="auto"/>
        <w:ind w:firstLine="709"/>
        <w:jc w:val="both"/>
      </w:pPr>
      <w:r>
        <w:rPr>
          <w:rFonts w:ascii="Times New Roman" w:cs="Times New Roman" w:eastAsia="Times New Roman" w:hAnsi="Times New Roman"/>
          <w:sz w:val="28"/>
          <w:szCs w:val="28"/>
        </w:rPr>
        <w:t xml:space="preserve">Инструментальные переменные не включены в основную методику ввиду отсутствия содержательно правдоподобного инструмента, коррелирующего с индексом санкционной экспозиции, но не связанного напрямую с ненаблюдаемыми детерминантами траектории индекса трансформации бизнес-модели: включение слабого либо содержательно неубедительного инструмента создало бы более серьёзную проблему, чем отсутствие инструментальной переменной вовсе. Сопоставление по предсанкционным характеристикам и взвешивание по обратной вероятности отбора рассматриваются как содержательно оправданные дополнительные инструменты применительно к проблеме выбывания компаний из выборки (раздел 3.11.5), где вопрос о вероятности отбора в наблюдаемую панель возникает естественным образом, но не для основной панельной оценки, где фиксированные эффекты и проверка параллельных трендов образуют более прямой способ снижения угрозы смещения.</w:t>
      </w:r>
    </w:p>
    <w:p>
      <w:pPr>
        <w:spacing w:after="160" w:before="0" w:line="360" w:lineRule="auto"/>
        <w:ind w:firstLine="709"/>
        <w:jc w:val="both"/>
      </w:pPr>
      <w:r>
        <w:rPr>
          <w:rFonts w:ascii="Times New Roman" w:cs="Times New Roman" w:eastAsia="Times New Roman" w:hAnsi="Times New Roman"/>
          <w:sz w:val="28"/>
          <w:szCs w:val="28"/>
        </w:rPr>
        <w:t xml:space="preserve">Каждая из перечисленных угроз сопровождается конкретной процедурой проверки устойчивости результата: альтернативной конструкцией индекса трансформации бизнес-модели с исключением блока «взаимоотношения с клиентами» и альтернативными весами; альтернативной конструкцией индекса санкционной экспозиции с весами, определяемыми методом главных компонент; альтернативным составом выборки с исключением крупнейших компаний и winsorization финансовых показателей на уровне 1–99 перцентилей; альтернативным набором контрольных переменных; сопоставлением оценок с фиксированными и модифицированными по Мундлаку случайными эффектами; плацебо-тестом с искусственным переносом даты шока на заведомо неверный год; falsification-тестом на подвыборке компаний вне зоны предполагаемого механизма воздействия; изменением временнóго окна панели и исключением 2020 г. для отделения эффекта пандемии от санкционного эффекта; альтернативной датировкой границы постшокового периода; двусторонней кластеризацией стандартных ошибок. Значимый эффект, полученный при переносе даты шока на заведомо неверный период либо на выборке компаний вне предполагаемого механизма воздействия, интерпретировался бы как прямое свидетельство того, что оценённая связь отражает не причинный эффект интереса, а иную, неучтённую закономерность, а не выдавать корреляцию за причинность.</w:t>
      </w:r>
    </w:p>
    <w:p>
      <w:pPr>
        <w:pStyle w:val="Heading3"/>
        <w:spacing w:after="160" w:before="260" w:line="360" w:lineRule="auto"/>
        <w:jc w:val="left"/>
      </w:pPr>
      <w:r>
        <w:rPr>
          <w:rFonts w:ascii="Times New Roman" w:cs="Times New Roman" w:eastAsia="Times New Roman" w:hAnsi="Times New Roman"/>
          <w:b/>
          <w:bCs/>
          <w:i/>
          <w:iCs/>
          <w:sz w:val="26"/>
          <w:szCs w:val="26"/>
        </w:rPr>
        <w:t xml:space="preserve">3.11.2. Операционализация успешной трансформации бизнес-модели</w:t>
      </w:r>
    </w:p>
    <w:p>
      <w:pPr>
        <w:spacing w:after="160" w:before="0" w:line="360" w:lineRule="auto"/>
        <w:ind w:firstLine="709"/>
        <w:jc w:val="both"/>
      </w:pPr>
      <w:r>
        <w:rPr>
          <w:rFonts w:ascii="Times New Roman" w:cs="Times New Roman" w:eastAsia="Times New Roman" w:hAnsi="Times New Roman"/>
          <w:sz w:val="28"/>
          <w:szCs w:val="28"/>
        </w:rPr>
        <w:t xml:space="preserve">Понятие успешной трансформации бизнес-модели неизмеримо без явного критерия, и использование его без операционализации представляло бы типичную методологическую ошибку. Рассмотрены пять кандидатных критериев. Сохранение либо рост финансовых результатов фиксирует экономическую жизнеспособность компании, однако не различает рост, обусловленный органической трансформацией бизнес-модели, и рост, обусловленный пассивным импортозамещающим спросом, не требующим содержательной перестройки. Измеримое замещение западных технологий фиксирует собственно технологическую адаптацию, но не учитывает финансовую устойчивость подобного замещения. Диверсификация рынков сбыта фиксирует устойчивость к будущим шокам, однако способна отражать вынужденное сжатие, а не стратегический успех. Сохранение деятельности как таковое фиксирует минимальный порог выживания, но является чрезмерно слабым критерием, не различающим выживание и процветание. Композитный критерий, требующий одновременного выполнения нескольких условий, снижает вероятность ложной классификации ценой необходимости обоснования пороговых значений по каждому компоненту.</w:t>
      </w:r>
    </w:p>
    <w:p>
      <w:pPr>
        <w:spacing w:after="160" w:before="0" w:line="360" w:lineRule="auto"/>
        <w:ind w:firstLine="709"/>
        <w:jc w:val="both"/>
      </w:pPr>
      <w:r>
        <w:rPr>
          <w:rFonts w:ascii="Times New Roman" w:cs="Times New Roman" w:eastAsia="Times New Roman" w:hAnsi="Times New Roman"/>
          <w:sz w:val="28"/>
          <w:szCs w:val="28"/>
        </w:rPr>
        <w:t xml:space="preserve">Основным критерием методики выступает композитный бинарный индикатор, принимающий значение единицы при одновременном выполнении трёх условий: компания не вышла из выборки к 2024 г.; реальная выручка 2024 г. не ниже реальной выручки 2021 г.; зафиксировано измеримое снижение доли западных технологий в операционных издержках относительно предсанкционного уровня. Совместное выполнение всех трёх условий существенно снижает вероятность смешения различных содержательных явлений — пассивного роста и подлинной трансформации, вынужденного сжатия и стратегической диверсификации, — которому подвержен любой из компонентов, взятый в отдельности. Пороговые значения по каждому компоненту подлежат обязательному sensitivity-анализу: переоценке модели при альтернативных, более и менее строгих порогах с последующим сообщением устойчивости знака и статистической значимости коэффициентов.</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P</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SuccessfulTransformation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1) = Λ(</w:t>
      </w:r>
      <w:r>
        <w:rPr>
          <w:rFonts w:ascii="Times New Roman" w:cs="Times New Roman" w:eastAsia="Times New Roman" w:hAnsi="Times New Roman"/>
          <w:i/>
          <w:iCs/>
          <w:sz w:val="28"/>
          <w:szCs w:val="28"/>
        </w:rPr>
        <w:t xml:space="preserve">θ</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θ</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i/>
          <w:iCs/>
          <w:sz w:val="28"/>
          <w:szCs w:val="28"/>
        </w:rPr>
        <w:t xml:space="preserve">Digital</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θ</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(3.8)</w:t>
      </w:r>
    </w:p>
    <w:p>
      <w:pPr>
        <w:spacing w:after="160" w:before="0" w:line="360" w:lineRule="auto"/>
        <w:ind w:firstLine="709"/>
        <w:jc w:val="both"/>
      </w:pPr>
      <w:r>
        <w:rPr>
          <w:rFonts w:ascii="Times New Roman" w:cs="Times New Roman" w:eastAsia="Times New Roman" w:hAnsi="Times New Roman"/>
          <w:sz w:val="28"/>
          <w:szCs w:val="28"/>
        </w:rPr>
        <w:t xml:space="preserve">где Λ(·) — логистическая функция; альтернативой выступает пробит-спецификация, используемая для проверки устойчивости к функциональной форме связи. Роль данной модели в методике — проверка робастности основного результата при переходе от непрерывного индекса к бинарному исходу, а не самостоятельный, конкурирующий по значимости результат.</w:t>
      </w:r>
    </w:p>
    <w:p>
      <w:pPr>
        <w:pStyle w:val="Heading3"/>
        <w:spacing w:after="160" w:before="260" w:line="360" w:lineRule="auto"/>
        <w:jc w:val="left"/>
      </w:pPr>
      <w:r>
        <w:rPr>
          <w:rFonts w:ascii="Times New Roman" w:cs="Times New Roman" w:eastAsia="Times New Roman" w:hAnsi="Times New Roman"/>
          <w:b/>
          <w:bCs/>
          <w:i/>
          <w:iCs/>
          <w:sz w:val="26"/>
          <w:szCs w:val="26"/>
        </w:rPr>
        <w:t xml:space="preserve">3.11.3. Синтетический контроль и синтетическая разность разностей</w:t>
      </w:r>
    </w:p>
    <w:p>
      <w:pPr>
        <w:spacing w:after="160" w:before="0" w:line="360" w:lineRule="auto"/>
        <w:ind w:firstLine="709"/>
        <w:jc w:val="both"/>
      </w:pPr>
      <w:r>
        <w:rPr>
          <w:rFonts w:ascii="Times New Roman" w:cs="Times New Roman" w:eastAsia="Times New Roman" w:hAnsi="Times New Roman"/>
          <w:sz w:val="28"/>
          <w:szCs w:val="28"/>
        </w:rPr>
        <w:t xml:space="preserve">Классический метод синтетического контроля конструирует контрфактическую траекторию для отдельной единицы наблюдения как взвешенную комбинацию единиц из пула доноров, не подвергшихся воздействию (Abadie, Diamond, Hainmueller, 2010), и требует пула донор-единиц с достаточно длинным предшоковым периодом для устойчивой подгонки весов (Abadie, 2021). Применение классического варианта метода к отдельной российской IT-компании сталкивается со структурной проблемой отсутствия валидного донорского пула с обеих возможных сторон его формирования: прочие российские публичные IT-компании подвергаются тому же макрошоку одновременно с исследуемой фирмой и потому не могут выступать необработанными донорами в строгом смысле метода; зарубежные компании-аналоги действуют в структурно несопоставимой регуляторной, валютной и рыночной среде, что создаёт риск неудовлетворительной предикторной подгонки и экстраполяции за пределы носителя данных доноров.</w:t>
      </w:r>
    </w:p>
    <w:p>
      <w:pPr>
        <w:spacing w:after="160" w:before="0" w:line="360" w:lineRule="auto"/>
        <w:ind w:firstLine="709"/>
        <w:jc w:val="both"/>
      </w:pPr>
      <w:r>
        <w:rPr>
          <w:rFonts w:ascii="Times New Roman" w:cs="Times New Roman" w:eastAsia="Times New Roman" w:hAnsi="Times New Roman"/>
          <w:sz w:val="28"/>
          <w:szCs w:val="28"/>
        </w:rPr>
        <w:t xml:space="preserve">Более пригодной альтернативой выступает синтетическая разность разностей (Arkhangelsky, Athey, Hirshberg, Imbens, Wager, 2021), сочетающая логику синтетического контроля — взвешивание доноров для подгонки предшокового тренда — с логикой метода разности разностей, использующей временны́е фиксированные эффекты для устранения шоков, общих для всех единиц наблюдения. Данное сочетание напрямую снимает первую из двух указанных проблем: российские IT-компании с низкой предсанкционной экспозицией могут использоваться в качестве неидеальных, но частично корректных доноров именно потому, что общий для них и для исследуемой компании компонент шока — макроэкономическая среда 2022–2024 гг. — явно моделируется через временны́е эффекты метода, а не требует его полной «чистоты», как в классической версии. Вторая проблема — структурная несопоставимость зарубежных аналогов — сохраняется при любой версии метода и составляет ограничение, не устранимое выбором иной техники, что подлежит явному указанию при представлении результатов.</w:t>
      </w:r>
    </w:p>
    <w:p>
      <w:pPr>
        <w:spacing w:after="160" w:before="0" w:line="360" w:lineRule="auto"/>
        <w:ind w:firstLine="709"/>
        <w:jc w:val="both"/>
      </w:pPr>
      <w:r>
        <w:rPr>
          <w:rFonts w:ascii="Times New Roman" w:cs="Times New Roman" w:eastAsia="Times New Roman" w:hAnsi="Times New Roman"/>
          <w:sz w:val="28"/>
          <w:szCs w:val="28"/>
        </w:rPr>
        <w:t xml:space="preserve">Как классический синтетический контроль, так и синтетическая разность разностей сохраняют в разработанной методике статус дополнительного, иллюстративного инструмента апробации применительно к отдельному кейсу, а не самостоятельного канала причинной идентификации для генеральной методики, что является прямым следствием ограничений донорского пула, а не преуменьшением ценности метода как такового. Разрыв между фактической и синтетической траекторией индекса трансформации бизнес-модели интерпретируется как содержательная, а не строго статистически значимая иллюстрация величины эффекта ввиду отсутствия стандартной статистической инференции при единичной обрабатываемой единице без дополнительных перестановочных процедур.</w:t>
      </w:r>
    </w:p>
    <w:p>
      <w:pPr>
        <w:pStyle w:val="Heading3"/>
        <w:spacing w:after="160" w:before="260" w:line="360" w:lineRule="auto"/>
        <w:jc w:val="left"/>
      </w:pPr>
      <w:r>
        <w:rPr>
          <w:rFonts w:ascii="Times New Roman" w:cs="Times New Roman" w:eastAsia="Times New Roman" w:hAnsi="Times New Roman"/>
          <w:b/>
          <w:bCs/>
          <w:i/>
          <w:iCs/>
          <w:sz w:val="26"/>
          <w:szCs w:val="26"/>
        </w:rPr>
        <w:t xml:space="preserve">3.11.4. Смещение вследствие выбывания компаний из выборки</w:t>
      </w:r>
    </w:p>
    <w:p>
      <w:pPr>
        <w:spacing w:after="160" w:before="0" w:line="360" w:lineRule="auto"/>
        <w:ind w:firstLine="709"/>
        <w:jc w:val="both"/>
      </w:pPr>
      <w:r>
        <w:rPr>
          <w:rFonts w:ascii="Times New Roman" w:cs="Times New Roman" w:eastAsia="Times New Roman" w:hAnsi="Times New Roman"/>
          <w:sz w:val="28"/>
          <w:szCs w:val="28"/>
        </w:rPr>
        <w:t xml:space="preserve">Санкционный шок способен приводить не только к трансформации бизнес-модели, но и к прекращению самого факта наблюдаемости компании — уходу с рынка, прекращению публичного раскрытия отчётности, банкротству или продаже бизнеса. Данные два явления — трансформацию и выбывание — необходимо содержательно разграничивать: систематическое игнорирование канала выбывания смещает выборку в сторону компаний, для которых адаптация оказалась осуществимой, что по построению занижает наблюдаемую вариацию исхода и, потенциально, величину оцениваемого эффекта. Основной моделью в данной связи выступает не искусственно сбалансированная, а несбалансированная панель с отдельно операционализированным исходом выбывания, дополняемая самостоятельной моделью вероятности выбывания:</w:t>
      </w:r>
    </w:p>
    <w:p>
      <w:pPr>
        <w:tabs>
          <w:tab w:val="right" w:pos="9026"/>
        </w:tabs>
        <w:spacing w:after="200" w:before="200" w:line="360" w:lineRule="auto"/>
        <w:jc w:val="center"/>
      </w:pPr>
      <w:r>
        <w:rPr>
          <w:rFonts w:ascii="Times New Roman" w:cs="Times New Roman" w:eastAsia="Times New Roman" w:hAnsi="Times New Roman"/>
          <w:i/>
          <w:iCs/>
          <w:sz w:val="28"/>
          <w:szCs w:val="28"/>
        </w:rPr>
        <w:t xml:space="preserve">P</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Exit</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1) = Λ(</w:t>
      </w:r>
      <w:r>
        <w:rPr>
          <w:rFonts w:ascii="Times New Roman" w:cs="Times New Roman" w:eastAsia="Times New Roman" w:hAnsi="Times New Roman"/>
          <w:i/>
          <w:iCs/>
          <w:sz w:val="28"/>
          <w:szCs w:val="28"/>
        </w:rPr>
        <w:t xml:space="preserve">π</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i/>
          <w:iCs/>
          <w:sz w:val="28"/>
          <w:szCs w:val="28"/>
        </w:rPr>
        <w:t xml:space="preserve">ISEC</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w:t>
      </w:r>
      <w:r>
        <w:rPr>
          <w:rFonts w:ascii="Times New Roman" w:cs="Times New Roman" w:eastAsia="Times New Roman" w:hAnsi="Times New Roman"/>
          <w:i/>
          <w:iCs/>
          <w:sz w:val="28"/>
          <w:szCs w:val="28"/>
        </w:rPr>
        <w:t xml:space="preserve">π</w:t>
      </w: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(3.9)</w:t>
      </w:r>
    </w:p>
    <w:p>
      <w:pPr>
        <w:spacing w:after="160" w:before="0" w:line="360" w:lineRule="auto"/>
        <w:ind w:firstLine="709"/>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Exit</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1, если компания прекратила публичное раскрытие консолидированной отчётности, была делистингована, признана банкротом либо сменила контролирующего собственника в течение 2022–2024 гг. Положительный и статистически значимый коэффициент </w:t>
      </w:r>
      <w:r>
        <w:rPr>
          <w:rFonts w:ascii="Times New Roman" w:cs="Times New Roman" w:eastAsia="Times New Roman" w:hAnsi="Times New Roman"/>
          <w:i/>
          <w:iCs/>
          <w:sz w:val="28"/>
          <w:szCs w:val="28"/>
        </w:rPr>
        <w:t xml:space="preserve">π</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образует прямое эмпирическое подтверждение гипотезы H5 и одновременно количественную оценку масштаба смещения вследствие выбывания в основной выборке.</w:t>
      </w:r>
    </w:p>
    <w:p>
      <w:pPr>
        <w:spacing w:after="160" w:before="0" w:line="360" w:lineRule="auto"/>
        <w:ind w:firstLine="709"/>
        <w:jc w:val="both"/>
      </w:pPr>
      <w:r>
        <w:rPr>
          <w:rFonts w:ascii="Times New Roman" w:cs="Times New Roman" w:eastAsia="Times New Roman" w:hAnsi="Times New Roman"/>
          <w:sz w:val="28"/>
          <w:szCs w:val="28"/>
        </w:rPr>
        <w:t xml:space="preserve">Двухшаговая коррекция Хекмана экономически оправдана лишь при наличии содержательно убедительного исключающего ограничения — переменной, влияющей на вероятность продолжения раскрытия отчётности, но не влияющей напрямую на индекс трансформации бизнес-модели. Требования к раскрытию информации, обусловленные включением в определённый котировальный список организатора торгов, рассматриваются как предварительный кандидат на подобное ограничение, убедительность которого, однако, не установлена априори и подлежит отдельному обоснованию на этапе эмпирической реализации. При отсутствии убедительного исключающего ограничения предпочтение отдаётся более консервативному подходу — несбалансированной панели в сочетании с самостоятельной пробит-моделью выбывания, — а не формально более сложной, но потенциально хуже идентифицированной модели Хекмана; взвешивание по обратной вероятности продолжения наблюдения, предсказанной из данной модели, рассматривается как дополнительная, не основная проверка.</w:t>
      </w:r>
    </w:p>
    <w:p>
      <w:pPr>
        <w:pStyle w:val="Heading3"/>
        <w:spacing w:after="160" w:before="260" w:line="360" w:lineRule="auto"/>
        <w:jc w:val="left"/>
      </w:pPr>
      <w:r>
        <w:rPr>
          <w:rFonts w:ascii="Times New Roman" w:cs="Times New Roman" w:eastAsia="Times New Roman" w:hAnsi="Times New Roman"/>
          <w:b/>
          <w:bCs/>
          <w:i/>
          <w:iCs/>
          <w:sz w:val="26"/>
          <w:szCs w:val="26"/>
        </w:rPr>
        <w:t xml:space="preserve">3.11.5. Санкционные эпизоды 2014 и 2022 гг.</w:t>
      </w:r>
    </w:p>
    <w:p>
      <w:pPr>
        <w:spacing w:after="160" w:before="0" w:line="360" w:lineRule="auto"/>
        <w:ind w:firstLine="709"/>
        <w:jc w:val="both"/>
      </w:pPr>
      <w:r>
        <w:rPr>
          <w:rFonts w:ascii="Times New Roman" w:cs="Times New Roman" w:eastAsia="Times New Roman" w:hAnsi="Times New Roman"/>
          <w:sz w:val="28"/>
          <w:szCs w:val="28"/>
        </w:rPr>
        <w:t xml:space="preserve">Наличие двух санкционных эпизодов с интервалом восемь лет открывает возможность проверки устойчивости выявленной зависимости за пределами одного конкретного события, что требует, однако, терминологической точности. Характеристика подобной проверки как «обучения модели» на данных 2014–2021 гг. с последующей «проверкой» на данных 2022–2024 гг. в духе машинного обучения — с разделением на обучающую и тестовую выборки и минимизацией ошибки предсказания — некорректна применительно к эконометрическому дизайну, ориентированному на причинный вывод, а не на предсказательную точность. Корректной переформулировкой выступает проверка устойчивости структурных параметров, содержательно родственная логике теста Чоу: модель раздела 3.7 оценивается отдельно на данных, относящихся к эпизоду 2014 г., при наличии соответствующей панели, и к эпизоду 2022 г., после чего сопоставляются знак, порядок величины и, при наличии оснований, статистическая неразличимость коэффициента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между эпизодами. Совпадение результатов интерпретируется не как успешное предсказание новым эпизодом, а как свидетельство обобщаемости выявленной структурной зависимости за пределы одного конкретного санкционного эпизода — содержательно иной, хотя внешне сходный вывод.</w:t>
      </w:r>
    </w:p>
    <w:p>
      <w:pPr>
        <w:spacing w:after="160" w:before="0" w:line="360" w:lineRule="auto"/>
        <w:ind w:firstLine="709"/>
        <w:jc w:val="both"/>
      </w:pPr>
      <w:r>
        <w:rPr>
          <w:rFonts w:ascii="Times New Roman" w:cs="Times New Roman" w:eastAsia="Times New Roman" w:hAnsi="Times New Roman"/>
          <w:sz w:val="28"/>
          <w:szCs w:val="28"/>
        </w:rPr>
        <w:t xml:space="preserve">Из трёх возможных способов использования двухволновой структуры данных — рассмотрения эпизодов как двух независимых шоков, требующего отдельного сбора панели за период 2011–2018 гг., выходящий за пределы заявленного окна наблюдения; включения опыта адаптации к шоку 2014 г. в качестве дополнительной контрольной переменной при анализе эпизода 2022 г.; и проверки устойчивости структурных параметров между эпизодами — наиболее совместимым с заявленным временны́м окном 2019–2024 гг. выступает второй способ, не требующий полного отдельного сбора данных за 2011–2018 гг. и напрямую обогащающий основную модель содержательной гипотезой об «обучении» компаний адаптации по результатам предшествующего опыта. При количественном сопоставлении коэффициентов между эпизодами необходимо учитывать их принципиальное различие по масштабу и составу применённых мер, по исходному состоянию развития отечественного технологического стека и по масштабу государственной поддержки, вследствие чего подобное сопоставление ограничивается качественным сравнением знака и порядка величины эффекта, а не прямым количественным сопоставлением коэффициентов без учёта структурных различий эпизодов.</w:t>
      </w:r>
    </w:p>
    <w:p>
      <w:pPr>
        <w:pStyle w:val="Heading3"/>
        <w:spacing w:after="160" w:before="260" w:line="360" w:lineRule="auto"/>
        <w:jc w:val="left"/>
      </w:pPr>
      <w:r>
        <w:rPr>
          <w:rFonts w:ascii="Times New Roman" w:cs="Times New Roman" w:eastAsia="Times New Roman" w:hAnsi="Times New Roman"/>
          <w:b/>
          <w:bCs/>
          <w:i/>
          <w:iCs/>
          <w:sz w:val="26"/>
          <w:szCs w:val="26"/>
        </w:rPr>
        <w:t xml:space="preserve">3.11.6. Текстовый анализ корпоративной отчётности</w:t>
      </w:r>
    </w:p>
    <w:p>
      <w:pPr>
        <w:spacing w:after="160" w:before="0" w:line="360" w:lineRule="auto"/>
        <w:ind w:firstLine="709"/>
        <w:jc w:val="both"/>
      </w:pPr>
      <w:r>
        <w:rPr>
          <w:rFonts w:ascii="Times New Roman" w:cs="Times New Roman" w:eastAsia="Times New Roman" w:hAnsi="Times New Roman"/>
          <w:sz w:val="28"/>
          <w:szCs w:val="28"/>
        </w:rPr>
        <w:t xml:space="preserve">Нарративные разделы годовых отчётов содержат информацию о трансформации бизнес-модели, не полностью улавливаемую табличными данными финансовой отчётности, — обстоятельство, методологически обоснованное демонстрацией того, что текстовый анализ корпоративной отчётности несёт значимую дополнительную информацию сверх табличных финансовых показателей (Loughran, McDonald, 2011). Роль текстового анализа в разработанной методике является вспомогательной: он служит дополнительным источником переменных для операционализации блоков ценностного предложения и ключевых видов деятельности, наименее полно наблюдаемых через табличные данные, и инструментом описательного обогащения количественного анализа, но не самостоятельным причинным методом.</w:t>
      </w:r>
    </w:p>
    <w:p>
      <w:pPr>
        <w:spacing w:after="160" w:before="0" w:line="360" w:lineRule="auto"/>
        <w:ind w:firstLine="709"/>
        <w:jc w:val="both"/>
      </w:pPr>
      <w:r>
        <w:rPr>
          <w:rFonts w:ascii="Times New Roman" w:cs="Times New Roman" w:eastAsia="Times New Roman" w:hAnsi="Times New Roman"/>
          <w:sz w:val="28"/>
          <w:szCs w:val="28"/>
        </w:rPr>
        <w:t xml:space="preserve">Практическая реализация опирается на частотный, словарный подход: формируется тематический словарь категорий — «импортозамещение», «технологическая независимость», «новые рынки», «партнёрства», — после чего рассчитывается нормализованная на объём текста частота упоминания каждой категории по годам; взвешивание по редкости термина в корпусе рассматривается как техническое уточнение частотного подхода, не меняющее его содержательной логики. Тематическое моделирование и анализ на основе больших языковых моделей отклонены в качестве основного инструмента не вследствие принципиальной неприменимости, а по причине требования воспроизводимости: результаты тематического моделирования чувствительны к случайной инициализации и выбору числа тем, а результаты анализа на основе языковых моделей — к конкретной версии модели и параметрам генерации, ни один из которых не гарантированно воспроизводим независимым исследователем спустя время, тогда как словарный частотный анализ по фиксированному, документированному словарю воспроизводим детерминированно.</w:t>
      </w:r>
    </w:p>
    <w:p>
      <w:pPr>
        <w:pStyle w:val="Heading3"/>
        <w:spacing w:after="160" w:before="260" w:line="360" w:lineRule="auto"/>
        <w:jc w:val="left"/>
      </w:pPr>
      <w:r>
        <w:rPr>
          <w:rFonts w:ascii="Times New Roman" w:cs="Times New Roman" w:eastAsia="Times New Roman" w:hAnsi="Times New Roman"/>
          <w:b/>
          <w:bCs/>
          <w:i/>
          <w:iCs/>
          <w:sz w:val="26"/>
          <w:szCs w:val="26"/>
        </w:rPr>
        <w:t xml:space="preserve">3.11.7. Синтез методологических решений</w:t>
      </w:r>
    </w:p>
    <w:p>
      <w:pPr>
        <w:spacing w:after="160" w:before="0" w:line="360" w:lineRule="auto"/>
        <w:ind w:firstLine="709"/>
        <w:jc w:val="both"/>
      </w:pPr>
      <w:r>
        <w:rPr>
          <w:rFonts w:ascii="Times New Roman" w:cs="Times New Roman" w:eastAsia="Times New Roman" w:hAnsi="Times New Roman"/>
          <w:sz w:val="28"/>
          <w:szCs w:val="28"/>
        </w:rPr>
        <w:t xml:space="preserve">Совокупность методологических решений, принятых при разработке методики, и рассмотренных при этом альтернативных вариантов представлена в таблице 3.6, демонстрирующей осознанность произведённого методологического выбора, а не простое перечисление доступного эконометрического инструментария.</w:t>
      </w:r>
    </w:p>
    <w:p>
      <w:pPr>
        <w:spacing w:after="120" w:before="240"/>
        <w:jc w:val="left"/>
      </w:pPr>
      <w:r>
        <w:rPr>
          <w:rFonts w:ascii="Times New Roman" w:cs="Times New Roman" w:eastAsia="Times New Roman" w:hAnsi="Times New Roman"/>
          <w:sz w:val="28"/>
          <w:szCs w:val="28"/>
        </w:rPr>
        <w:t xml:space="preserve">Таблица 3.6 — Методологические решения и альтернативы</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1871"/>
        <w:gridCol w:w="2526"/>
        <w:gridCol w:w="2058"/>
        <w:gridCol w:w="2900"/>
      </w:tblGrid>
      <w:tr>
        <w:trPr>
          <w:tblHeader/>
        </w:trPr>
        <w:tc>
          <w:tcPr>
            <w:tcW w:type="dxa" w:w="1871"/>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Методологическое решение</w:t>
            </w:r>
          </w:p>
        </w:tc>
        <w:tc>
          <w:tcPr>
            <w:tcW w:type="dxa" w:w="2526"/>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Обоснование выбора</w:t>
            </w:r>
          </w:p>
        </w:tc>
        <w:tc>
          <w:tcPr>
            <w:tcW w:type="dxa" w:w="2058"/>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Рассмотренная альтернатива</w:t>
            </w:r>
          </w:p>
        </w:tc>
        <w:tc>
          <w:tcPr>
            <w:tcW w:type="dxa" w:w="2900"/>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Причина отказа от альтернативы</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Индекс санкционной экспозиции измеряется по предсанкционным (2019–2021) данным</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Устраняет обратную причинность и проблему «плохого контроля» (раздел 3.3)</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Time-varying индекс по текущим данным</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Смешивает причину и следствие; коэффициент нельзя интерпретировать причинно</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Равновзвешенный индекс трансформации бизнес-модели</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Прозрачность и воспроизводимость; независимость от неустойчивых при малом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весов</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Индекс на основе метода главных компонент</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Неустойчивость нагрузок при малом числе компаний; риск неинтерпретируемости первой компоненты</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Two-way fixed effects как основная спецификация</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Экономически правдоподобная коррелированность индивидуальных эффектов и экспозиции</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Модель со случайными эффектами</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Предпосылка некоррелированности эффектов и регрессоров неправдоподобна содержательно</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Непрерывная мера воздействия как основная DiD-спецификация</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Соответствует содержанию исследовательского вопроса; использует всю вариацию экспозиции</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Бинарное деление на группы высокой и низкой экспозиции</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Произвольность порога разбиения; утрата внутригрупповой вариации — сохранена как альтернативная спецификация</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Квазиэкспериментальная, а не «естественно-экспериментальная» трактовка дизайна</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Самоотбор компаний в стратегию интегратора/разработчика нарушает предпосылку случайного распределения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Трактовка перехода на отечественное ПО как чистого естественного эксперимента</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Переоценивает силу идентификации; корректное основание — параллельные тренды, а не случайность отбора</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Пороговая регрессия Хансена с явной оговоркой о мощности</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Эндогенная оценка критического уровня давления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Квадратичный член</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Проще по числу параметров, но не даёт содержательной интерпретации порога; используется как fallback</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Синтетическая разность разностей вместо классического synthetic control</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Снимает проблему co-treated доноров моделированием общих временны́х шоков</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Классический синтетический контроль</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Структурно отсутствует валидный донорский пул необработанных единиц</w:t>
            </w:r>
          </w:p>
        </w:tc>
      </w:tr>
      <w:tr>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Несбалансированная панель с отдельной моделью выбывания</w:t>
            </w:r>
          </w:p>
        </w:tc>
        <w:tc>
          <w:tcPr>
            <w:tcW w:type="dxa" w:w="2526"/>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Явный, а не скрытый учёт смещения вследствие выбывания</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Модель Хекмана как основной инструмент</w:t>
            </w:r>
          </w:p>
        </w:tc>
        <w:tc>
          <w:tcPr>
            <w:tcW w:type="dxa" w:w="2900"/>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Требует исключающего ограничения, убедительность которого не установлена априори</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pStyle w:val="Heading2"/>
        <w:spacing w:after="200" w:before="360" w:line="360" w:lineRule="auto"/>
        <w:jc w:val="left"/>
      </w:pPr>
      <w:r>
        <w:rPr>
          <w:rFonts w:ascii="Times New Roman" w:cs="Times New Roman" w:eastAsia="Times New Roman" w:hAnsi="Times New Roman"/>
          <w:b/>
          <w:bCs/>
          <w:sz w:val="28"/>
          <w:szCs w:val="28"/>
        </w:rPr>
        <w:t xml:space="preserve">3.12. Ограничения эконометрической методики</w:t>
      </w:r>
    </w:p>
    <w:p>
      <w:pPr>
        <w:spacing w:after="160" w:before="0" w:line="360" w:lineRule="auto"/>
        <w:ind w:firstLine="709"/>
        <w:jc w:val="both"/>
      </w:pPr>
      <w:r>
        <w:rPr>
          <w:rFonts w:ascii="Times New Roman" w:cs="Times New Roman" w:eastAsia="Times New Roman" w:hAnsi="Times New Roman"/>
          <w:sz w:val="28"/>
          <w:szCs w:val="28"/>
        </w:rPr>
        <w:t xml:space="preserve">Ограничения разработанной методики не являются случайными техническими недочётами: каждое из них представляет собой прямое следствие структуры доступных данных либо конкретной методологической предпосылки, что обусловливает необходимость их систематического, а не выборочного рассмотрения.</w:t>
      </w:r>
    </w:p>
    <w:p>
      <w:pPr>
        <w:spacing w:after="160" w:before="0" w:line="360" w:lineRule="auto"/>
        <w:ind w:firstLine="709"/>
        <w:jc w:val="both"/>
      </w:pPr>
      <w:r>
        <w:rPr>
          <w:rFonts w:ascii="Times New Roman" w:cs="Times New Roman" w:eastAsia="Times New Roman" w:hAnsi="Times New Roman"/>
          <w:sz w:val="28"/>
          <w:szCs w:val="28"/>
        </w:rPr>
        <w:t xml:space="preserve">Реалистичный объём основной выборки — порядка 15–25 компаний и 90–150 наблюдений «компания-год» — ограничивает статистическую мощность спецификаций, требующих оценивания дополнительных параметров сверх базовой линейной модели, в наибольшей степени пороговой регрессии и коэффициентов событийного анализа на удалённых от момента шока лидах и лагах. Данное ограничение является структурным свойством генеральной совокупности российских публичных IT-компаний, а не недостатком дизайна исследования, вследствие чего отсутствие статистической значимости при малой выборке не эквивалентно доказательству отсутствия эффекта содержательно. Узость и высокая взаимосвязанность российской IT-отрасли — общие клиенты, частично пересекающиеся кадровые рынки, общие каналы государственной поддержки — создают риск коррелированности остатков модели между компаниями даже после включения временны́х фиксированных эффектов, что оправдывает применение двусторонней кластеризации стандартных ошибок, не устраняя, однако, данный риск полностью при малом числе кластеров.</w:t>
      </w:r>
    </w:p>
    <w:p>
      <w:pPr>
        <w:spacing w:after="160" w:before="0" w:line="360" w:lineRule="auto"/>
        <w:ind w:firstLine="709"/>
        <w:jc w:val="both"/>
      </w:pPr>
      <w:r>
        <w:rPr>
          <w:rFonts w:ascii="Times New Roman" w:cs="Times New Roman" w:eastAsia="Times New Roman" w:hAnsi="Times New Roman"/>
          <w:sz w:val="28"/>
          <w:szCs w:val="28"/>
        </w:rPr>
        <w:t xml:space="preserve">Период наблюдения 2019–2024 гг. включает пандемийный шок 2020–2021 гг., затрагивающий все компании выборки независимо от их санкционной экспозиции, но не обязательно нейтрально по отношению к переменной интереса: компании с более высокой цифровизацией и экспортной ориентацией могли пострадать от пандемии иначе, чем от санкций, что создаёт риск смешения эффектов при недостаточном контроле. Временны́е фиксированные эффекты поглощают любой шок, общий для всех компаний в данном году, а исключение 2020 г. из выборки образует дополнительную проверку устойчивости; тем не менее если пандемийный шок воздействовал на компании дифференцированно по тому же измерению, по которому дифференцирована санкционная экспозиция, временны́е фиксированные эффекты данной проблемы не устраняют, что смягчается, но не снимается полностью включением дополнительных взаимодействий с показателем цифровизации.</w:t>
      </w:r>
    </w:p>
    <w:p>
      <w:pPr>
        <w:spacing w:after="160" w:before="0" w:line="360" w:lineRule="auto"/>
        <w:ind w:firstLine="709"/>
        <w:jc w:val="both"/>
      </w:pPr>
      <w:r>
        <w:rPr>
          <w:rFonts w:ascii="Times New Roman" w:cs="Times New Roman" w:eastAsia="Times New Roman" w:hAnsi="Times New Roman"/>
          <w:sz w:val="28"/>
          <w:szCs w:val="28"/>
        </w:rPr>
        <w:t xml:space="preserve">Меры государственной поддержки IT-отрасли, программы импортозамещения и структурный рост спроса на решения в области кибербезопасности действуют в том же направлении и в то же время, что и санкционный шок, а появление данных мер для части из них, в частности программ импортозамещения, само является политическим ответом на тот же шок, а не независимым от него процессом. Это не отдельная угроза идентификации, а конститутивная часть исследуемого механизма: реакция государства на санкции образует часть контекста, в котором происходит трансформация бизнес-модели, а её отделение от «чистого» рыночного эффекта санкций в строгом смысле невозможно и не составляет цели настоящей методики — оцениваемый эффект по построению представляет собой совокупное воздействие санкционного шока и эндогенного по отношению к нему политического ответа, а не эффект санкций при прочих равных мерах поддержки, что должно учитываться при формулировании содержательных выводов. Изменение валютного курса и налоговой политики частично поглощается временны́ми фиксированными эффектами в той мере, в какой их динамика одинакова для всех компаний, однако дифференцированное воздействие курса на компании с разной степенью валютной экспозиции требует осторожности при одновременном использовании курсовых контролей и компонентов индекса санкционной экспозиции.</w:t>
      </w:r>
    </w:p>
    <w:p>
      <w:pPr>
        <w:spacing w:after="160" w:before="0" w:line="360" w:lineRule="auto"/>
        <w:ind w:firstLine="709"/>
        <w:jc w:val="both"/>
      </w:pPr>
      <w:r>
        <w:rPr>
          <w:rFonts w:ascii="Times New Roman" w:cs="Times New Roman" w:eastAsia="Times New Roman" w:hAnsi="Times New Roman"/>
          <w:sz w:val="28"/>
          <w:szCs w:val="28"/>
        </w:rPr>
        <w:t xml:space="preserve">На основании разработанного дизайна не могут быть сделаны следующие содержательные утверждения. Оценённый эффект не может интерпретироваться как эффект исключительно санкций в узком смысле, отделённый от сопутствующей государственной политики ответа на них. Коэффициент </w:t>
      </w:r>
      <w:r>
        <w:rPr>
          <w:rFonts w:ascii="Times New Roman" w:cs="Times New Roman" w:eastAsia="Times New Roman" w:hAnsi="Times New Roman"/>
          <w:i/>
          <w:iCs/>
          <w:sz w:val="28"/>
          <w:szCs w:val="28"/>
        </w:rPr>
        <w:t xml:space="preserve">β</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не может интерпретироваться как средний эффект для генеральной совокупности всех российских IT-компаний — исключительно для выборки компаний, ведущих публичное раскрытие в объёме, достаточном для расчёта используемых индексов. Наличие порогового эффекта не может утверждаться при статистически слабо мощном результате соответствующего теста — в этом случае допустим только вывод о неопределённости, а не об отсутствии нелинейности. Отсутствие значимых коэффициентов при лидах в событийном анализе не может интерпретироваться как строгое доказательство параллельных трендов, а только как отсутствие статистических оснований её отвергнуть при данной мощности теста. Оценки, полученные на основной выборке публичных компаний, не могут без дополнительной, отдельно валидированной модели распространяться на непубличные и не раскрывающие отчётность IT-компании, составляющие большую часть Реестра Минцифры.</w:t>
      </w:r>
    </w:p>
    <w:p>
      <w:pPr>
        <w:pStyle w:val="Heading2"/>
        <w:spacing w:after="200" w:before="360" w:line="360" w:lineRule="auto"/>
        <w:jc w:val="left"/>
      </w:pPr>
      <w:r>
        <w:rPr>
          <w:rFonts w:ascii="Times New Roman" w:cs="Times New Roman" w:eastAsia="Times New Roman" w:hAnsi="Times New Roman"/>
          <w:b/>
          <w:bCs/>
          <w:sz w:val="28"/>
          <w:szCs w:val="28"/>
        </w:rPr>
        <w:t xml:space="preserve">3.13. Алгоритм практического применения методики</w:t>
      </w:r>
    </w:p>
    <w:p>
      <w:pPr>
        <w:spacing w:after="160" w:before="0" w:line="360" w:lineRule="auto"/>
        <w:ind w:firstLine="709"/>
        <w:jc w:val="both"/>
      </w:pPr>
      <w:r>
        <w:rPr>
          <w:rFonts w:ascii="Times New Roman" w:cs="Times New Roman" w:eastAsia="Times New Roman" w:hAnsi="Times New Roman"/>
          <w:sz w:val="28"/>
          <w:szCs w:val="28"/>
        </w:rPr>
        <w:t xml:space="preserve">Практическая реализация методики организована в виде последовательности взаимосвязанных этапов, для каждого из которых определены входные данные, применяемый метод, ожидаемый результат и критерий, на основании которого принимается решение о переходе к следующему этапу либо о возврате к предшествующему (таблица 3.8). Порядок этапов отражает содержательную логику исследования: диагностика мультиколлинеарности и описательный анализ предшествуют содержательному оцениванию, а не следуют за ним; проверка устойчивости распределена по мере получения соответствующих оценок, а не сосредоточена в одном завершающем этапе; пороговая регрессия и синтетическая разность разностей применяются только по завершении полного цикла базовых оценок и проверки параллельных трендов, поскольку содержательно осмысленны лишь как дополнение к уже установленному базовому результату.</w:t>
      </w:r>
    </w:p>
    <w:p>
      <w:pPr>
        <w:spacing w:after="120" w:before="240"/>
        <w:jc w:val="left"/>
      </w:pPr>
      <w:r>
        <w:rPr>
          <w:rFonts w:ascii="Times New Roman" w:cs="Times New Roman" w:eastAsia="Times New Roman" w:hAnsi="Times New Roman"/>
          <w:sz w:val="28"/>
          <w:szCs w:val="28"/>
        </w:rPr>
        <w:t xml:space="preserve">Таблица 3.8 — Алгоритм практического применения методики</w:t>
      </w:r>
    </w:p>
    <w:tbl>
      <w:tblPr>
        <w:tblW w:type="dxa" w:w="9355"/>
        <w:tblBorders>
          <w:top w:val="single" w:color="000000" w:sz="4"/>
          <w:left w:val="single" w:color="000000" w:sz="4"/>
          <w:bottom w:val="single" w:color="000000" w:sz="4"/>
          <w:right w:val="single" w:color="000000" w:sz="4"/>
          <w:insideH w:val="single" w:color="000000" w:sz="2"/>
          <w:insideV w:val="single" w:color="000000" w:sz="2"/>
        </w:tblBorders>
      </w:tblPr>
      <w:tblGrid>
        <w:gridCol w:w="2058"/>
        <w:gridCol w:w="1871"/>
        <w:gridCol w:w="2058"/>
        <w:gridCol w:w="1684"/>
        <w:gridCol w:w="1684"/>
      </w:tblGrid>
      <w:tr>
        <w:trPr>
          <w:tblHeader/>
        </w:trPr>
        <w:tc>
          <w:tcPr>
            <w:tcW w:type="dxa" w:w="2058"/>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Этап</w:t>
            </w:r>
          </w:p>
        </w:tc>
        <w:tc>
          <w:tcPr>
            <w:tcW w:type="dxa" w:w="1871"/>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Входные данные</w:t>
            </w:r>
          </w:p>
        </w:tc>
        <w:tc>
          <w:tcPr>
            <w:tcW w:type="dxa" w:w="2058"/>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Метод</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Результат</w:t>
            </w:r>
          </w:p>
        </w:tc>
        <w:tc>
          <w:tcPr>
            <w:tcW w:type="dxa" w:w="1684"/>
            <w:shd w:fill="D9D9D9" w:val="clear"/>
            <w:tcMar>
              <w:top w:type="dxa" w:w="60"/>
              <w:left w:type="dxa" w:w="100"/>
              <w:bottom w:type="dxa" w:w="60"/>
              <w:right w:type="dxa" w:w="100"/>
            </w:tcMar>
            <w:vAlign w:val="center"/>
          </w:tcPr>
          <w:p>
            <w:pPr>
              <w:spacing w:after="0" w:line="276" w:lineRule="auto"/>
              <w:jc w:val="center"/>
            </w:pPr>
            <w:r>
              <w:rPr>
                <w:rFonts w:ascii="Times New Roman" w:cs="Times New Roman" w:eastAsia="Times New Roman" w:hAnsi="Times New Roman"/>
                <w:b/>
                <w:bCs/>
                <w:sz w:val="24"/>
                <w:szCs w:val="24"/>
              </w:rPr>
              <w:t xml:space="preserve">Критерий</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Формирование выборки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Реестр Минцифры, список эмитентов Мосбиржи, обзоры РУССОФТ/АПКИТ</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Отбор по критериям раздела 3.5</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Три уровня выборки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Полнота МСФО-отчётности за 2019–2024 гг.</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Сбор и очистка данных</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Годовые отчёты, МСФО, санкционные списки, hh.ru</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Структурированная база «компания × год»; проверка на дубли и единицы измерения</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Очищенная панель</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Отсутствие логических противоречий; заполненность ≥ 80%</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Построение ИСЭК</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Данные 2019–2021 гг.</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Расчёт трёх компонентов, нормализация, агрегирование (раздел 3.3)</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ISEC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по каждой компании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Корреляционный/PCA-анализ на предмет двойного счёта</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Построение ИТБМ</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Данные по 9 блокам за 2019–2021 и 2022–2024 гг.</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Стандартизация, агрегирование, диагностический PCA (раздел 3.4)</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ITBM</w:t>
            </w:r>
            <w:r>
              <w:rPr>
                <w:rFonts w:ascii="Times New Roman" w:cs="Times New Roman" w:eastAsia="Times New Roman" w:hAnsi="Times New Roman"/>
                <w:sz w:val="24"/>
                <w:szCs w:val="24"/>
                <w:vertAlign w:val="subscript"/>
              </w:rPr>
              <w:t xml:space="preserve">it</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Ранговая корреляция равновзвешенного и PCA-индекса &gt; 0,85</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Описательный анализ и диагностика</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Полная панель с индексами</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Описательная статистика, корреляционная матрица, VIF</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Таблицы, графики, VIF</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VIF &lt; 10 для каждого регрессора</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Оценивание базовой панельной модели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Полная панель</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Two-way FE, кластеризованные стандартные ошибки (раздел 3.6)</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Оценки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2</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Значимость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сопоставление с тестом Хаусмана</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Проверка параллельных трендов и оценка DiD</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Предшоковая подвыборка; полная панель</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Событийная спецификация; DiD (непрерывная и бинарная), раздел 3.7–3.8</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Профиль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оценки </w:t>
            </w:r>
            <w:r>
              <w:rPr>
                <w:rFonts w:ascii="Times New Roman" w:cs="Times New Roman" w:eastAsia="Times New Roman" w:hAnsi="Times New Roman"/>
                <w:i/>
                <w:iCs/>
                <w:sz w:val="24"/>
                <w:szCs w:val="24"/>
              </w:rPr>
              <w:t xml:space="preserve">β</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Незначимость лидов; сопоставимость непрерывной и бинарной оценок</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Анализ гетерогенности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Полная панель</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Тройные взаимодействия (раздел 3.10)</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Оценки коэффициентов при взаимодействиях</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Содержательная интерпретация знака (H2)</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Пороговая регрессия</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Полная панель</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Процедура Хансена: grid search + бутстрэп (раздел 3.9)</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доверительный интервал</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При незначимом бутстрэпе — переход на квадратичную спецификацию</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Проверка устойчивости</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Полная панель и её вариации</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Полный перечень проверок (раздел 3.11.1)</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Сопоставление коэффициентов по всем вариантам</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Устойчивость знака и порядка величины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Модель выбывания и альтернативная DV</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Расширенная выборка</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Probit/Logit (раздел 3.11.2, 3.11.4)</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Оценки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Проверка H5; сопоставимость знака с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vertAlign w:val="subscript"/>
              </w:rPr>
              <w:t xml:space="preserve">1</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Апробация на конкретном кейсе</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Все предыдущие результаты + данные кейса</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Synthetic DiD; позиционирование в распределении выборки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Развёрнутый кейс</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Согласованность с общими количественными результатами</w:t>
            </w:r>
          </w:p>
        </w:tc>
      </w:tr>
      <w:tr>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Интерпретация результатов</w:t>
            </w:r>
          </w:p>
        </w:tc>
        <w:tc>
          <w:tcPr>
            <w:tcW w:type="dxa" w:w="1871"/>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Результаты всех предыдущих этапов</w:t>
            </w:r>
          </w:p>
        </w:tc>
        <w:tc>
          <w:tcPr>
            <w:tcW w:type="dxa" w:w="2058"/>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Синтез относительно гипотез H1–H5</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Итоговый текст с результатами</w:t>
            </w:r>
          </w:p>
        </w:tc>
        <w:tc>
          <w:tcPr>
            <w:tcW w:type="dxa" w:w="1684"/>
            <w:tcMar>
              <w:top w:type="dxa" w:w="60"/>
              <w:left w:type="dxa" w:w="100"/>
              <w:bottom w:type="dxa" w:w="60"/>
              <w:right w:type="dxa" w:w="100"/>
            </w:tcMar>
            <w:vAlign w:val="center"/>
          </w:tcPr>
          <w:p>
            <w:pPr>
              <w:spacing w:after="0" w:line="276" w:lineRule="auto"/>
              <w:jc w:val="left"/>
            </w:pPr>
            <w:r>
              <w:rPr>
                <w:rFonts w:ascii="Times New Roman" w:cs="Times New Roman" w:eastAsia="Times New Roman" w:hAnsi="Times New Roman"/>
                <w:sz w:val="24"/>
                <w:szCs w:val="24"/>
              </w:rPr>
              <w:t xml:space="preserve">Прослеживаемость каждого вывода до конкретной процедуры</w:t>
            </w:r>
          </w:p>
        </w:tc>
      </w:tr>
    </w:tbl>
    <w:p>
      <w:pPr>
        <w:spacing w:after="240" w:before="80"/>
        <w:jc w:val="left"/>
      </w:pPr>
      <w:r>
        <w:rPr>
          <w:rFonts w:ascii="Times New Roman" w:cs="Times New Roman" w:eastAsia="Times New Roman" w:hAnsi="Times New Roman"/>
          <w:i/>
          <w:iCs/>
          <w:sz w:val="24"/>
          <w:szCs w:val="24"/>
        </w:rPr>
        <w:t xml:space="preserve">Источник: составлено автором.</w:t>
      </w:r>
    </w:p>
    <w:p>
      <w:pPr>
        <w:pStyle w:val="Heading2"/>
        <w:spacing w:after="200" w:before="360" w:line="360" w:lineRule="auto"/>
        <w:jc w:val="left"/>
      </w:pPr>
      <w:r>
        <w:rPr>
          <w:rFonts w:ascii="Times New Roman" w:cs="Times New Roman" w:eastAsia="Times New Roman" w:hAnsi="Times New Roman"/>
          <w:b/>
          <w:bCs/>
          <w:sz w:val="28"/>
          <w:szCs w:val="28"/>
        </w:rPr>
        <w:t xml:space="preserve">3.14. Выводы по разработанной методике</w:t>
      </w:r>
    </w:p>
    <w:p>
      <w:pPr>
        <w:spacing w:after="160" w:before="0" w:line="360" w:lineRule="auto"/>
        <w:ind w:firstLine="709"/>
        <w:jc w:val="both"/>
      </w:pPr>
      <w:r>
        <w:rPr>
          <w:rFonts w:ascii="Times New Roman" w:cs="Times New Roman" w:eastAsia="Times New Roman" w:hAnsi="Times New Roman"/>
          <w:sz w:val="28"/>
          <w:szCs w:val="28"/>
        </w:rPr>
        <w:t xml:space="preserve">Разработанная методика представляет собой не совокупность отдельных эконометрических инструментов, применённых к общей теме, а логически единую систему измерения, идентификации и проверки эффекта санкционного шока на трансформацию бизнес-модели компании, в которой каждое методологическое решение прослеживается до конкретного элемента исследовательского вопроса. Индекс санкционной экспозиции, построенный исключительно по предсанкционным данным, обеспечивает измерение интенсивности воздействия, свободное от обратной причинности. Девятиблочный индекс трансформации бизнес-модели переводит теоретическое понятие системной адаптации в операционализируемую, воспроизводимую количественную конструкцию, отделённую содержательно от вопроса об экономической успешности адаптации. Панельная модель с двусторонними фиксированными эффектами устраняет смещение от ненаблюдаемой неизменной во времени гетерогенности фирм. Метод разности разностей, реализованный в основной спецификации через непрерывную меру воздействия, надстраивает над панельной моделью причинную интерпретацию коэффициента при экспозиции, опираясь на проверяемую предпосылку параллельных трендов, а не на предположение о случайности распределения воздействия между компаниями. Событийный анализ обеспечивает как диагностику данной предпосылки, так и содержательную проверку гипотезы о лаговом характере адаптации бизнес-модели. Пороговая регрессия и анализ гетерогенности расширяют линейную спецификацию до проверки нелинейности и неоднородности воздействия. Система проверок устойчивости — от альтернативных конструкций ключевых индексов до синтетической разности разностей и моделей выбывания — образует не формальное дополнение, а неотъемлемую часть методики, обеспечивающую разграничение между устойчивым содержательным результатом и артефактом конкретной спецификации.</w:t>
      </w:r>
    </w:p>
    <w:p>
      <w:pPr>
        <w:spacing w:after="160" w:before="0" w:line="360" w:lineRule="auto"/>
        <w:ind w:firstLine="709"/>
        <w:jc w:val="both"/>
      </w:pPr>
      <w:r>
        <w:rPr>
          <w:rFonts w:ascii="Times New Roman" w:cs="Times New Roman" w:eastAsia="Times New Roman" w:hAnsi="Times New Roman"/>
          <w:sz w:val="28"/>
          <w:szCs w:val="28"/>
        </w:rPr>
        <w:t xml:space="preserve">Теоретический вклад разработанной методики состоит в переносе рамки динамических способностей на специфический класс внешнего воздействия, ранее не рассматривавшийся систематически в рамках данной теоретической традиции, — санкционный шок как дискретное, юридически оформленное, разнородное по составляющим компонентам ограничение, — и в формализации причинной цепочки, связывающей дифференцированную санкционную экспозицию с наблюдаемой трансформацией отдельных структурных блоков бизнес-модели.</w:t>
      </w:r>
    </w:p>
    <w:p>
      <w:pPr>
        <w:spacing w:after="160" w:before="0" w:line="360" w:lineRule="auto"/>
        <w:ind w:firstLine="709"/>
        <w:jc w:val="both"/>
      </w:pPr>
      <w:r>
        <w:rPr>
          <w:rFonts w:ascii="Times New Roman" w:cs="Times New Roman" w:eastAsia="Times New Roman" w:hAnsi="Times New Roman"/>
          <w:sz w:val="28"/>
          <w:szCs w:val="28"/>
        </w:rPr>
        <w:t xml:space="preserve">Методологический вклад состоит в разработке двухиндексной архитектуры измерения, в которой предопределённый индекс санкционной экспозиции и композитный, теоретически заземлённый в девятиблочной канве индекс трансформации бизнес-модели образуют не два независимых инструмента, а единую иерархию уровней анализа — от ассоциативного оценивания к причинной идентификации, от линейной спецификации к проверке нелинейности и неоднородности, от точечной оценки к системе проверок устойчивости.</w:t>
      </w:r>
    </w:p>
    <w:p>
      <w:pPr>
        <w:spacing w:after="160" w:before="0" w:line="360" w:lineRule="auto"/>
        <w:ind w:firstLine="709"/>
        <w:jc w:val="both"/>
      </w:pPr>
      <w:r>
        <w:rPr>
          <w:rFonts w:ascii="Times New Roman" w:cs="Times New Roman" w:eastAsia="Times New Roman" w:hAnsi="Times New Roman"/>
          <w:sz w:val="28"/>
          <w:szCs w:val="28"/>
        </w:rPr>
        <w:t xml:space="preserve">Эконометрический вклад состоит в последовательном разграничении роли панельной модели с фиксированными эффектами как инструмента учёта ненаблюдаемой гетерогенности и метода разности разностей как стратегии причинной идентификации; в явном обосновании перехода от бинарной к непрерывной мере воздействия применительно к задаче оценки влияния санкционного шока; в сопоставлении результатов классического двустороннего оценщика с ограничениями, установленными современной литературой о гетерогенных во времени эффектах, с чётким разграничением условий, при которых данные ограничения актуальны для настоящего дизайна, а при которых — нет; в адаптации синтетической разности разностей к специфической проблеме отсутствия «чистого» донорского пула при исследовании отдельной компании из страны, целиком подверженной общему макроэкономическому шоку.</w:t>
      </w:r>
    </w:p>
    <w:p>
      <w:pPr>
        <w:spacing w:after="160" w:before="0" w:line="360" w:lineRule="auto"/>
        <w:ind w:firstLine="709"/>
        <w:jc w:val="both"/>
      </w:pPr>
      <w:r>
        <w:rPr>
          <w:rFonts w:ascii="Times New Roman" w:cs="Times New Roman" w:eastAsia="Times New Roman" w:hAnsi="Times New Roman"/>
          <w:sz w:val="28"/>
          <w:szCs w:val="28"/>
        </w:rPr>
        <w:t xml:space="preserve">Эмпирический вклад состоит в формировании воспроизводимой основы для систематического измерения трансформации бизнес-модели российских IT-компаний под воздействием санкционного режима 2022 г. на уровне отдельных фирм — области, которая, в отличие от финансовой результативности и адаптационных стратегий, рассматриваемых в описательном либо частично формализованном ключе в существующих работах (Ahn, Ludema, 2020; Huynh, Hoang, Ongena, 2022; Kuzyk, Simachev, 2023; Dobrynina, Grishunin, 2025; Lee, Kumo, 2025), не была ранее операционализирована через сопоставимый по строгости построения многоблочный индекс трансформации как зависимую переменную панельного причинного анализа.</w:t>
      </w:r>
    </w:p>
    <w:p>
      <w:pPr>
        <w:spacing w:after="160" w:before="0" w:line="360" w:lineRule="auto"/>
        <w:ind w:firstLine="709"/>
        <w:jc w:val="both"/>
      </w:pPr>
      <w:r>
        <w:rPr>
          <w:rFonts w:ascii="Times New Roman" w:cs="Times New Roman" w:eastAsia="Times New Roman" w:hAnsi="Times New Roman"/>
          <w:sz w:val="28"/>
          <w:szCs w:val="28"/>
        </w:rPr>
        <w:t xml:space="preserve">Прикладной вклад состоит в формировании не разового результата, а инструментария, применимого к последующим санкционным эпизодам и, при соответствующей адаптации операционализации, к иным отраслям и юрисдикциям, сталкивающимся с сопоставимыми экзогенными шоками; пороговое значение санкционной экспозиции, при подтверждении его статистической значимости в эмпирической части исследования, образует индикативный диагностический ориентир для менеджмента, инвесторов и регуляторов при оценке уязвимости конкретной компании к возможному ужесточению внешних ограничений.</w:t>
      </w:r>
    </w:p>
    <w:p>
      <w:pPr>
        <w:spacing w:after="160" w:before="0" w:line="360" w:lineRule="auto"/>
        <w:ind w:firstLine="709"/>
        <w:jc w:val="both"/>
      </w:pPr>
      <w:r>
        <w:rPr>
          <w:rFonts w:ascii="Times New Roman" w:cs="Times New Roman" w:eastAsia="Times New Roman" w:hAnsi="Times New Roman"/>
          <w:sz w:val="28"/>
          <w:szCs w:val="28"/>
        </w:rPr>
        <w:t xml:space="preserve">Главным результатом настоящего раздела является, таким образом, не единичный оценённый коэффициент при санкционном воздействии, а воспроизводимая методика измерения и эконометрической оценки трансформации бизнес-модели компании под влиянием санкционного шока — методика, применение которой к конкретным эмпирическим данным составляет содержание следующей главы диссертационного исследования.</w:t>
      </w:r>
    </w:p>
    <w:p>
      <w:pPr>
        <w:pStyle w:val="Heading2"/>
        <w:spacing w:after="200" w:before="360" w:line="360" w:lineRule="auto"/>
        <w:jc w:val="left"/>
      </w:pPr>
      <w:r>
        <w:rPr>
          <w:rFonts w:ascii="Times New Roman" w:cs="Times New Roman" w:eastAsia="Times New Roman" w:hAnsi="Times New Roman"/>
          <w:b/>
          <w:bCs/>
          <w:sz w:val="28"/>
          <w:szCs w:val="28"/>
        </w:rPr>
        <w:t xml:space="preserve">Методологические уточнения, внесённые при редакционной доработке</w:t>
      </w:r>
    </w:p>
    <w:p>
      <w:pPr>
        <w:spacing w:after="160" w:before="0" w:line="360" w:lineRule="auto"/>
        <w:ind w:firstLine="709"/>
        <w:jc w:val="both"/>
      </w:pPr>
      <w:r>
        <w:rPr>
          <w:rFonts w:ascii="Times New Roman" w:cs="Times New Roman" w:eastAsia="Times New Roman" w:hAnsi="Times New Roman"/>
          <w:sz w:val="28"/>
          <w:szCs w:val="28"/>
        </w:rPr>
        <w:t xml:space="preserve">Настоящая редакция сохраняет архитектуру методики, разработанную на предшествующем этапе исследования, — двухиндексную конструкцию, иерархию панельной модели, метода разности разностей, событийного анализа, пороговой регрессии и системы проверок устойчивости, — без изменения её содержательной логики. При переводе рабочего варианта методики в форму, пригодную для включения в текст диссертации, внесены два уточнения непринципиального характера. Во-первых, формальная проверка предпосылки параллельных трендов объединена с изложением динамической событийной спецификации (раздел 3.8) в единый подраздел вместо двух раздельных: обе процедуры опираются на одну и ту же спецификацию с лидами и лагами, и их раздельное изложение приводило бы к повторному представлению одной формулы под разными заголовками, не добавляя содержательной информации. Во-вторых, устранена внутренняя несогласованность нумерации разделов при перекрёстных ссылках на процедуру проверки устойчивости индекса трансформации бизнес-модели к выбору весов. Существенных эконометрических ошибок в разработанной на предшествующем этапе методике при подготовке настоящей редакции не обнаружено.</w:t>
      </w:r>
    </w:p>
    <w:p>
      <w:pPr>
        <w:pStyle w:val="Heading2"/>
        <w:spacing w:after="200" w:before="360" w:line="360" w:lineRule="auto"/>
        <w:jc w:val="left"/>
      </w:pPr>
      <w:r>
        <w:rPr>
          <w:rFonts w:ascii="Times New Roman" w:cs="Times New Roman" w:eastAsia="Times New Roman" w:hAnsi="Times New Roman"/>
          <w:b/>
          <w:bCs/>
          <w:sz w:val="28"/>
          <w:szCs w:val="28"/>
        </w:rPr>
        <w:t xml:space="preserve">Список использованных источников</w:t>
      </w:r>
    </w:p>
    <w:p>
      <w:pPr>
        <w:spacing w:after="140" w:line="276" w:lineRule="auto"/>
        <w:ind w:left="480" w:hanging="480"/>
        <w:jc w:val="both"/>
      </w:pPr>
      <w:r>
        <w:rPr>
          <w:rFonts w:ascii="Times New Roman" w:cs="Times New Roman" w:eastAsia="Times New Roman" w:hAnsi="Times New Roman"/>
          <w:sz w:val="24"/>
          <w:szCs w:val="24"/>
        </w:rPr>
        <w:t xml:space="preserve">Abadie A. Using synthetic controls: feasibility, data requirements, and methodological aspects // Journal of Economic Literature. 2021. Vol. 59. No. 2. P. 391–425. DOI: 10.1257/jel.20191450.</w:t>
      </w:r>
    </w:p>
    <w:p>
      <w:pPr>
        <w:spacing w:after="140" w:line="276" w:lineRule="auto"/>
        <w:ind w:left="480" w:hanging="480"/>
        <w:jc w:val="both"/>
      </w:pPr>
      <w:r>
        <w:rPr>
          <w:rFonts w:ascii="Times New Roman" w:cs="Times New Roman" w:eastAsia="Times New Roman" w:hAnsi="Times New Roman"/>
          <w:sz w:val="24"/>
          <w:szCs w:val="24"/>
        </w:rPr>
        <w:t xml:space="preserve">Abadie A., Diamond A., Hainmueller J. Synthetic control methods for comparative case studies: estimating the effect of California's tobacco control program // Journal of the American Statistical Association. 2010. Vol. 105. No. 490. P. 493–505. DOI: 10.1198/jasa.2009.ap08746.</w:t>
      </w:r>
    </w:p>
    <w:p>
      <w:pPr>
        <w:spacing w:after="140" w:line="276" w:lineRule="auto"/>
        <w:ind w:left="480" w:hanging="480"/>
        <w:jc w:val="both"/>
      </w:pPr>
      <w:r>
        <w:rPr>
          <w:rFonts w:ascii="Times New Roman" w:cs="Times New Roman" w:eastAsia="Times New Roman" w:hAnsi="Times New Roman"/>
          <w:sz w:val="24"/>
          <w:szCs w:val="24"/>
        </w:rPr>
        <w:t xml:space="preserve">Abadie A., Gardeazabal J. The economic costs of conflict: a case study of the Basque Country // American Economic Review. 2003. Vol. 93. No. 1. P. 113–132. DOI: 10.1257/000282803321455188.</w:t>
      </w:r>
    </w:p>
    <w:p>
      <w:pPr>
        <w:spacing w:after="140" w:line="276" w:lineRule="auto"/>
        <w:ind w:left="480" w:hanging="480"/>
        <w:jc w:val="both"/>
      </w:pPr>
      <w:r>
        <w:rPr>
          <w:rFonts w:ascii="Times New Roman" w:cs="Times New Roman" w:eastAsia="Times New Roman" w:hAnsi="Times New Roman"/>
          <w:sz w:val="24"/>
          <w:szCs w:val="24"/>
        </w:rPr>
        <w:t xml:space="preserve">Ahn D. P., Ludema R. D. The sword and the shield: the economics of targeted sanctions // European Economic Review. 2020. Vol. 130. Art. 103587. DOI: 10.1016/j.euroecorev.2020.103587.</w:t>
      </w:r>
    </w:p>
    <w:p>
      <w:pPr>
        <w:spacing w:after="140" w:line="276" w:lineRule="auto"/>
        <w:ind w:left="480" w:hanging="480"/>
        <w:jc w:val="both"/>
      </w:pPr>
      <w:r>
        <w:rPr>
          <w:rFonts w:ascii="Times New Roman" w:cs="Times New Roman" w:eastAsia="Times New Roman" w:hAnsi="Times New Roman"/>
          <w:sz w:val="24"/>
          <w:szCs w:val="24"/>
        </w:rPr>
        <w:t xml:space="preserve">Angrist J. D., Pischke J.-S. Mostly Harmless Econometrics: An Empiricist's Companion. Princeton, NJ: Princeton University Press, 2009. 373 p.</w:t>
      </w:r>
    </w:p>
    <w:p>
      <w:pPr>
        <w:spacing w:after="140" w:line="276" w:lineRule="auto"/>
        <w:ind w:left="480" w:hanging="480"/>
        <w:jc w:val="both"/>
      </w:pPr>
      <w:r>
        <w:rPr>
          <w:rFonts w:ascii="Times New Roman" w:cs="Times New Roman" w:eastAsia="Times New Roman" w:hAnsi="Times New Roman"/>
          <w:sz w:val="24"/>
          <w:szCs w:val="24"/>
        </w:rPr>
        <w:t xml:space="preserve">Arellano M. Panel Data Econometrics. Oxford: Oxford University Press, 2003. 240 p.</w:t>
      </w:r>
    </w:p>
    <w:p>
      <w:pPr>
        <w:spacing w:after="140" w:line="276" w:lineRule="auto"/>
        <w:ind w:left="480" w:hanging="480"/>
        <w:jc w:val="both"/>
      </w:pPr>
      <w:r>
        <w:rPr>
          <w:rFonts w:ascii="Times New Roman" w:cs="Times New Roman" w:eastAsia="Times New Roman" w:hAnsi="Times New Roman"/>
          <w:sz w:val="24"/>
          <w:szCs w:val="24"/>
        </w:rPr>
        <w:t xml:space="preserve">Arellano M., Bond S. Some tests of specification for panel data: Monte Carlo evidence and an application to employment equations // Review of Economic Studies. 1991. Vol. 58. No. 2. P. 277–297. DOI: 10.2307/2297968.</w:t>
      </w:r>
    </w:p>
    <w:p>
      <w:pPr>
        <w:spacing w:after="140" w:line="276" w:lineRule="auto"/>
        <w:ind w:left="480" w:hanging="480"/>
        <w:jc w:val="both"/>
      </w:pPr>
      <w:r>
        <w:rPr>
          <w:rFonts w:ascii="Times New Roman" w:cs="Times New Roman" w:eastAsia="Times New Roman" w:hAnsi="Times New Roman"/>
          <w:sz w:val="24"/>
          <w:szCs w:val="24"/>
        </w:rPr>
        <w:t xml:space="preserve">Arkhangelsky D., Athey S., Hirshberg D. A., Imbens G. W., Wager S. Synthetic difference-in-differences // American Economic Review. 2021. Vol. 111. No. 12. P. 4088–4118. DOI: 10.1257/aer.20190159.</w:t>
      </w:r>
    </w:p>
    <w:p>
      <w:pPr>
        <w:spacing w:after="140" w:line="276" w:lineRule="auto"/>
        <w:ind w:left="480" w:hanging="480"/>
        <w:jc w:val="both"/>
      </w:pPr>
      <w:r>
        <w:rPr>
          <w:rFonts w:ascii="Times New Roman" w:cs="Times New Roman" w:eastAsia="Times New Roman" w:hAnsi="Times New Roman"/>
          <w:sz w:val="24"/>
          <w:szCs w:val="24"/>
        </w:rPr>
        <w:t xml:space="preserve">Baltagi B. H. Econometric Analysis of Panel Data. 6th ed. Cham: Springer, 2021. 411 p. DOI: 10.1007/978-3-030-53953-5.</w:t>
      </w:r>
    </w:p>
    <w:p>
      <w:pPr>
        <w:spacing w:after="140" w:line="276" w:lineRule="auto"/>
        <w:ind w:left="480" w:hanging="480"/>
        <w:jc w:val="both"/>
      </w:pPr>
      <w:r>
        <w:rPr>
          <w:rFonts w:ascii="Times New Roman" w:cs="Times New Roman" w:eastAsia="Times New Roman" w:hAnsi="Times New Roman"/>
          <w:sz w:val="24"/>
          <w:szCs w:val="24"/>
        </w:rPr>
        <w:t xml:space="preserve">Bertrand M., Duflo E., Mullainathan S. How much should we trust differences-in-differences estimates? // Quarterly Journal of Economics. 2004. Vol. 119. No. 1. P. 249–275. DOI: 10.1162/003355304772839588.</w:t>
      </w:r>
    </w:p>
    <w:p>
      <w:pPr>
        <w:spacing w:after="140" w:line="276" w:lineRule="auto"/>
        <w:ind w:left="480" w:hanging="480"/>
        <w:jc w:val="both"/>
      </w:pPr>
      <w:r>
        <w:rPr>
          <w:rFonts w:ascii="Times New Roman" w:cs="Times New Roman" w:eastAsia="Times New Roman" w:hAnsi="Times New Roman"/>
          <w:sz w:val="24"/>
          <w:szCs w:val="24"/>
        </w:rPr>
        <w:t xml:space="preserve">Besedeš T., Goldbach S., Nitsch V. Cheap talk? Financial sanctions and non-financial firms // European Economic Review. 2021. Vol. 134. Art. 103688. DOI: 10.1016/j.euroecorev.2021.103688.</w:t>
      </w:r>
    </w:p>
    <w:p>
      <w:pPr>
        <w:spacing w:after="140" w:line="276" w:lineRule="auto"/>
        <w:ind w:left="480" w:hanging="480"/>
        <w:jc w:val="both"/>
      </w:pPr>
      <w:r>
        <w:rPr>
          <w:rFonts w:ascii="Times New Roman" w:cs="Times New Roman" w:eastAsia="Times New Roman" w:hAnsi="Times New Roman"/>
          <w:sz w:val="24"/>
          <w:szCs w:val="24"/>
        </w:rPr>
        <w:t xml:space="preserve">Callaway B., Goodman-Bacon A., Sant'Anna P. H. C. Difference-in-Differences with a Continuous Treatment. NBER Working Paper No. 32117. Cambridge, MA: National Bureau of Economic Research, 2024.</w:t>
      </w:r>
    </w:p>
    <w:p>
      <w:pPr>
        <w:spacing w:after="140" w:line="276" w:lineRule="auto"/>
        <w:ind w:left="480" w:hanging="480"/>
        <w:jc w:val="both"/>
      </w:pPr>
      <w:r>
        <w:rPr>
          <w:rFonts w:ascii="Times New Roman" w:cs="Times New Roman" w:eastAsia="Times New Roman" w:hAnsi="Times New Roman"/>
          <w:sz w:val="24"/>
          <w:szCs w:val="24"/>
        </w:rPr>
        <w:t xml:space="preserve">Callaway B., Sant'Anna P. H. C. Difference-in-differences with multiple time periods // Journal of Econometrics. 2021. Vol. 225. No. 2. P. 200–230. DOI: 10.1016/j.jeconom.2020.12.001.</w:t>
      </w:r>
    </w:p>
    <w:p>
      <w:pPr>
        <w:spacing w:after="140" w:line="276" w:lineRule="auto"/>
        <w:ind w:left="480" w:hanging="480"/>
        <w:jc w:val="both"/>
      </w:pPr>
      <w:r>
        <w:rPr>
          <w:rFonts w:ascii="Times New Roman" w:cs="Times New Roman" w:eastAsia="Times New Roman" w:hAnsi="Times New Roman"/>
          <w:sz w:val="24"/>
          <w:szCs w:val="24"/>
        </w:rPr>
        <w:t xml:space="preserve">Cameron A. C., Gelbach J. B., Miller D. L. Robust inference with multiway clustering // Journal of Business &amp; Economic Statistics. 2011. Vol. 29. No. 2. P. 238–249. DOI: 10.1198/jbes.2010.07136.</w:t>
      </w:r>
    </w:p>
    <w:p>
      <w:pPr>
        <w:spacing w:after="140" w:line="276" w:lineRule="auto"/>
        <w:ind w:left="480" w:hanging="480"/>
        <w:jc w:val="both"/>
      </w:pPr>
      <w:r>
        <w:rPr>
          <w:rFonts w:ascii="Times New Roman" w:cs="Times New Roman" w:eastAsia="Times New Roman" w:hAnsi="Times New Roman"/>
          <w:sz w:val="24"/>
          <w:szCs w:val="24"/>
        </w:rPr>
        <w:t xml:space="preserve">Casadesus-Masanell R., Ricart J. E. From strategy to business models and onto tactics // Long Range Planning. 2010. Vol. 43. No. 2–3. P. 195–215. DOI: 10.1016/j.lrp.2010.01.004.</w:t>
      </w:r>
    </w:p>
    <w:p>
      <w:pPr>
        <w:spacing w:after="140" w:line="276" w:lineRule="auto"/>
        <w:ind w:left="480" w:hanging="480"/>
        <w:jc w:val="both"/>
      </w:pPr>
      <w:r>
        <w:rPr>
          <w:rFonts w:ascii="Times New Roman" w:cs="Times New Roman" w:eastAsia="Times New Roman" w:hAnsi="Times New Roman"/>
          <w:sz w:val="24"/>
          <w:szCs w:val="24"/>
        </w:rPr>
        <w:t xml:space="preserve">Chupilkin M., Javorcik B., Plekhanov A. The Eurasian Roundabout: Trade Flows into Russia through the Caucasus and Central Asia. EBRD Working Paper No. 276; CEPR Discussion Paper No. 20097. London: European Bank for Reconstruction and Development, 2023. DOI: 10.2139/ssrn.4368618.</w:t>
      </w:r>
    </w:p>
    <w:p>
      <w:pPr>
        <w:spacing w:after="140" w:line="276" w:lineRule="auto"/>
        <w:ind w:left="480" w:hanging="480"/>
        <w:jc w:val="both"/>
      </w:pPr>
      <w:r>
        <w:rPr>
          <w:rFonts w:ascii="Times New Roman" w:cs="Times New Roman" w:eastAsia="Times New Roman" w:hAnsi="Times New Roman"/>
          <w:sz w:val="24"/>
          <w:szCs w:val="24"/>
        </w:rPr>
        <w:t xml:space="preserve">Crozet M., Hinz J. Friendly fire: the trade impact of the Russia sanctions and counter-sanctions // Economic Policy. 2020. Vol. 35. No. 101. P. 97–146. DOI: 10.1093/epolic/eiaa006.</w:t>
      </w:r>
    </w:p>
    <w:p>
      <w:pPr>
        <w:spacing w:after="140" w:line="276" w:lineRule="auto"/>
        <w:ind w:left="480" w:hanging="480"/>
        <w:jc w:val="both"/>
      </w:pPr>
      <w:r>
        <w:rPr>
          <w:rFonts w:ascii="Times New Roman" w:cs="Times New Roman" w:eastAsia="Times New Roman" w:hAnsi="Times New Roman"/>
          <w:sz w:val="24"/>
          <w:szCs w:val="24"/>
        </w:rPr>
        <w:t xml:space="preserve">de Chaisemartin C., D'Haultfœuille X. Two-way fixed effects estimators with heterogeneous treatment effects // American Economic Review. 2020. Vol. 110. No. 9. P. 2964–2996. DOI: 10.1257/aer.20181169.</w:t>
      </w:r>
    </w:p>
    <w:p>
      <w:pPr>
        <w:spacing w:after="140" w:line="276" w:lineRule="auto"/>
        <w:ind w:left="480" w:hanging="480"/>
        <w:jc w:val="both"/>
      </w:pPr>
      <w:r>
        <w:rPr>
          <w:rFonts w:ascii="Times New Roman" w:cs="Times New Roman" w:eastAsia="Times New Roman" w:hAnsi="Times New Roman"/>
          <w:sz w:val="24"/>
          <w:szCs w:val="24"/>
        </w:rPr>
        <w:t xml:space="preserve">de Chaisemartin C., D'Haultfœuille X. Two-way fixed effects and differences-in-differences estimators with several treatments // Journal of Econometrics. 2023. Vol. 236. No. 2. Art. 105480.</w:t>
      </w:r>
    </w:p>
    <w:p>
      <w:pPr>
        <w:spacing w:after="140" w:line="276" w:lineRule="auto"/>
        <w:ind w:left="480" w:hanging="480"/>
        <w:jc w:val="both"/>
      </w:pPr>
      <w:r>
        <w:rPr>
          <w:rFonts w:ascii="Times New Roman" w:cs="Times New Roman" w:eastAsia="Times New Roman" w:hAnsi="Times New Roman"/>
          <w:sz w:val="24"/>
          <w:szCs w:val="24"/>
        </w:rPr>
        <w:t xml:space="preserve">Dobrynina P., Grishunin S. The impact of sanctions on the financial performance and creditworthiness of Russian non-financial companies // Procedia Computer Science. 2025. Vol. 266.</w:t>
      </w:r>
    </w:p>
    <w:p>
      <w:pPr>
        <w:spacing w:after="140" w:line="276" w:lineRule="auto"/>
        <w:ind w:left="480" w:hanging="480"/>
        <w:jc w:val="both"/>
      </w:pPr>
      <w:r>
        <w:rPr>
          <w:rFonts w:ascii="Times New Roman" w:cs="Times New Roman" w:eastAsia="Times New Roman" w:hAnsi="Times New Roman"/>
          <w:sz w:val="24"/>
          <w:szCs w:val="24"/>
        </w:rPr>
        <w:t xml:space="preserve">Felbermayr G., Kirilakha A., Syropoulos C., Yalcin E., Yotov Y. V. The global sanctions data base // European Economic Review. 2020. Vol. 129. Art. 103561. DOI: 10.1016/j.euroecorev.2020.103561.</w:t>
      </w:r>
    </w:p>
    <w:p>
      <w:pPr>
        <w:spacing w:after="140" w:line="276" w:lineRule="auto"/>
        <w:ind w:left="480" w:hanging="480"/>
        <w:jc w:val="both"/>
      </w:pPr>
      <w:r>
        <w:rPr>
          <w:rFonts w:ascii="Times New Roman" w:cs="Times New Roman" w:eastAsia="Times New Roman" w:hAnsi="Times New Roman"/>
          <w:sz w:val="24"/>
          <w:szCs w:val="24"/>
        </w:rPr>
        <w:t xml:space="preserve">Goldsmith-Pinkham P., Sorkin I., Swift H. Bartik instruments: what, when, why, and how // American Economic Review. 2020. Vol. 110. No. 8. P. 2586–2624. DOI: 10.1257/aer.20181047.</w:t>
      </w:r>
    </w:p>
    <w:p>
      <w:pPr>
        <w:spacing w:after="140" w:line="276" w:lineRule="auto"/>
        <w:ind w:left="480" w:hanging="480"/>
        <w:jc w:val="both"/>
      </w:pPr>
      <w:r>
        <w:rPr>
          <w:rFonts w:ascii="Times New Roman" w:cs="Times New Roman" w:eastAsia="Times New Roman" w:hAnsi="Times New Roman"/>
          <w:sz w:val="24"/>
          <w:szCs w:val="24"/>
        </w:rPr>
        <w:t xml:space="preserve">Goodman-Bacon A. Difference-in-differences with variation in treatment timing // Journal of Econometrics. 2021. Vol. 225. No. 2. P. 254–277. DOI: 10.1016/j.jeconom.2021.03.014.</w:t>
      </w:r>
    </w:p>
    <w:p>
      <w:pPr>
        <w:spacing w:after="140" w:line="276" w:lineRule="auto"/>
        <w:ind w:left="480" w:hanging="480"/>
        <w:jc w:val="both"/>
      </w:pPr>
      <w:r>
        <w:rPr>
          <w:rFonts w:ascii="Times New Roman" w:cs="Times New Roman" w:eastAsia="Times New Roman" w:hAnsi="Times New Roman"/>
          <w:sz w:val="24"/>
          <w:szCs w:val="24"/>
        </w:rPr>
        <w:t xml:space="preserve">Hansen B. E. Threshold effects in non-dynamic panels: estimation, testing, and inference // Journal of Econometrics. 1999. Vol. 93. No. 2. P. 345–368. DOI: 10.1016/S0304-4076(99)00025-1.</w:t>
      </w:r>
    </w:p>
    <w:p>
      <w:pPr>
        <w:spacing w:after="140" w:line="276" w:lineRule="auto"/>
        <w:ind w:left="480" w:hanging="480"/>
        <w:jc w:val="both"/>
      </w:pPr>
      <w:r>
        <w:rPr>
          <w:rFonts w:ascii="Times New Roman" w:cs="Times New Roman" w:eastAsia="Times New Roman" w:hAnsi="Times New Roman"/>
          <w:sz w:val="24"/>
          <w:szCs w:val="24"/>
        </w:rPr>
        <w:t xml:space="preserve">Hausman J. A. Specification tests in econometrics // Econometrica. 1978. Vol. 46. No. 6. P. 1251–1271. DOI: 10.2307/1913827.</w:t>
      </w:r>
    </w:p>
    <w:p>
      <w:pPr>
        <w:spacing w:after="140" w:line="276" w:lineRule="auto"/>
        <w:ind w:left="480" w:hanging="480"/>
        <w:jc w:val="both"/>
      </w:pPr>
      <w:r>
        <w:rPr>
          <w:rFonts w:ascii="Times New Roman" w:cs="Times New Roman" w:eastAsia="Times New Roman" w:hAnsi="Times New Roman"/>
          <w:sz w:val="24"/>
          <w:szCs w:val="24"/>
        </w:rPr>
        <w:t xml:space="preserve">Heckman J. J. Sample selection bias as a specification error // Econometrica. 1979. Vol. 47. No. 1. P. 153–161. DOI: 10.2307/1912352.</w:t>
      </w:r>
    </w:p>
    <w:p>
      <w:pPr>
        <w:spacing w:after="140" w:line="276" w:lineRule="auto"/>
        <w:ind w:left="480" w:hanging="480"/>
        <w:jc w:val="both"/>
      </w:pPr>
      <w:r>
        <w:rPr>
          <w:rFonts w:ascii="Times New Roman" w:cs="Times New Roman" w:eastAsia="Times New Roman" w:hAnsi="Times New Roman"/>
          <w:sz w:val="24"/>
          <w:szCs w:val="24"/>
        </w:rPr>
        <w:t xml:space="preserve">Hufbauer G. C., Schott J. J., Elliott K. A., Oegg B. Economic Sanctions Reconsidered. 3rd ed. Washington, DC: Peterson Institute for International Economics, 2007. 233 p.</w:t>
      </w:r>
    </w:p>
    <w:p>
      <w:pPr>
        <w:spacing w:after="140" w:line="276" w:lineRule="auto"/>
        <w:ind w:left="480" w:hanging="480"/>
        <w:jc w:val="both"/>
      </w:pPr>
      <w:r>
        <w:rPr>
          <w:rFonts w:ascii="Times New Roman" w:cs="Times New Roman" w:eastAsia="Times New Roman" w:hAnsi="Times New Roman"/>
          <w:sz w:val="24"/>
          <w:szCs w:val="24"/>
        </w:rPr>
        <w:t xml:space="preserve">Huynh L. D. T., Hoang K., Ongena S. The Impact of Foreign Sanctions on Firm Performance in Russia. CEPR Discussion Paper No. 17415. London: Centre for Economic Policy Research, 2022.</w:t>
      </w:r>
    </w:p>
    <w:p>
      <w:pPr>
        <w:spacing w:after="140" w:line="276" w:lineRule="auto"/>
        <w:ind w:left="480" w:hanging="480"/>
        <w:jc w:val="both"/>
      </w:pPr>
      <w:r>
        <w:rPr>
          <w:rFonts w:ascii="Times New Roman" w:cs="Times New Roman" w:eastAsia="Times New Roman" w:hAnsi="Times New Roman"/>
          <w:sz w:val="24"/>
          <w:szCs w:val="24"/>
        </w:rPr>
        <w:t xml:space="preserve">Kuzyk M. G., Simachev Yu. V. Strategies of Russian companies to adapt to the 2022 sanctions // Journal of the New Economic Association. 2023. No. 3. P. 172–180. DOI: 10.31737/22212264_2023_3_172-180.</w:t>
      </w:r>
    </w:p>
    <w:p>
      <w:pPr>
        <w:spacing w:after="140" w:line="276" w:lineRule="auto"/>
        <w:ind w:left="480" w:hanging="480"/>
        <w:jc w:val="both"/>
      </w:pPr>
      <w:r>
        <w:rPr>
          <w:rFonts w:ascii="Times New Roman" w:cs="Times New Roman" w:eastAsia="Times New Roman" w:hAnsi="Times New Roman"/>
          <w:sz w:val="24"/>
          <w:szCs w:val="24"/>
        </w:rPr>
        <w:t xml:space="preserve">Lee H.-S., Kumo K. The impact of sanctions on firms' financial performance in Russia // Eurasian Business Review. 2025. DOI: 10.1007/s40821-025-00337-3.</w:t>
      </w:r>
    </w:p>
    <w:p>
      <w:pPr>
        <w:spacing w:after="140" w:line="276" w:lineRule="auto"/>
        <w:ind w:left="480" w:hanging="480"/>
        <w:jc w:val="both"/>
      </w:pPr>
      <w:r>
        <w:rPr>
          <w:rFonts w:ascii="Times New Roman" w:cs="Times New Roman" w:eastAsia="Times New Roman" w:hAnsi="Times New Roman"/>
          <w:sz w:val="24"/>
          <w:szCs w:val="24"/>
        </w:rPr>
        <w:t xml:space="preserve">Loughran T., McDonald B. When is a liability not a liability? Textual analysis, dictionaries, and 10-Ks // Journal of Finance. 2011. Vol. 66. No. 1. P. 35–65. DOI: 10.1111/j.1540-6261.2010.01625.x.</w:t>
      </w:r>
    </w:p>
    <w:p>
      <w:pPr>
        <w:spacing w:after="140" w:line="276" w:lineRule="auto"/>
        <w:ind w:left="480" w:hanging="480"/>
        <w:jc w:val="both"/>
      </w:pPr>
      <w:r>
        <w:rPr>
          <w:rFonts w:ascii="Times New Roman" w:cs="Times New Roman" w:eastAsia="Times New Roman" w:hAnsi="Times New Roman"/>
          <w:sz w:val="24"/>
          <w:szCs w:val="24"/>
        </w:rPr>
        <w:t xml:space="preserve">MacKinlay A. C. Event studies in economics and finance // Journal of Economic Literature. 1997. Vol. 35. No. 1. P. 13–39.</w:t>
      </w:r>
    </w:p>
    <w:p>
      <w:pPr>
        <w:spacing w:after="140" w:line="276" w:lineRule="auto"/>
        <w:ind w:left="480" w:hanging="480"/>
        <w:jc w:val="both"/>
      </w:pPr>
      <w:r>
        <w:rPr>
          <w:rFonts w:ascii="Times New Roman" w:cs="Times New Roman" w:eastAsia="Times New Roman" w:hAnsi="Times New Roman"/>
          <w:sz w:val="24"/>
          <w:szCs w:val="24"/>
        </w:rPr>
        <w:t xml:space="preserve">Mundlak Y. On the pooling of time series and cross section data // Econometrica. 1978. Vol. 46. No. 1. P. 69–85. DOI: 10.2307/1913646.</w:t>
      </w:r>
    </w:p>
    <w:p>
      <w:pPr>
        <w:spacing w:after="140" w:line="276" w:lineRule="auto"/>
        <w:ind w:left="480" w:hanging="480"/>
        <w:jc w:val="both"/>
      </w:pPr>
      <w:r>
        <w:rPr>
          <w:rFonts w:ascii="Times New Roman" w:cs="Times New Roman" w:eastAsia="Times New Roman" w:hAnsi="Times New Roman"/>
          <w:sz w:val="24"/>
          <w:szCs w:val="24"/>
        </w:rPr>
        <w:t xml:space="preserve">Neuenkirch M., Neumeier F. The impact of UN and US economic sanctions on GDP growth // European Journal of Political Economy. 2015. Vol. 40. Part A. P. 110–125. DOI: 10.1016/j.ejpoleco.2015.09.001.</w:t>
      </w:r>
    </w:p>
    <w:p>
      <w:pPr>
        <w:spacing w:after="140" w:line="276" w:lineRule="auto"/>
        <w:ind w:left="480" w:hanging="480"/>
        <w:jc w:val="both"/>
      </w:pPr>
      <w:r>
        <w:rPr>
          <w:rFonts w:ascii="Times New Roman" w:cs="Times New Roman" w:eastAsia="Times New Roman" w:hAnsi="Times New Roman"/>
          <w:sz w:val="24"/>
          <w:szCs w:val="24"/>
        </w:rPr>
        <w:t xml:space="preserve">Osterwalder A., Pigneur Y. Business Model Generation: A Handbook for Visionaries, Game Changers, and Challengers. Hoboken, NJ: John Wiley &amp; Sons, 2010. 288 p.</w:t>
      </w:r>
    </w:p>
    <w:p>
      <w:pPr>
        <w:spacing w:after="140" w:line="276" w:lineRule="auto"/>
        <w:ind w:left="480" w:hanging="480"/>
        <w:jc w:val="both"/>
      </w:pPr>
      <w:r>
        <w:rPr>
          <w:rFonts w:ascii="Times New Roman" w:cs="Times New Roman" w:eastAsia="Times New Roman" w:hAnsi="Times New Roman"/>
          <w:sz w:val="24"/>
          <w:szCs w:val="24"/>
        </w:rPr>
        <w:t xml:space="preserve">Petersen M. A. Estimating standard errors in finance panel data sets: comparing approaches // Review of Financial Studies. 2009. Vol. 22. No. 1. P. 435–480. DOI: 10.1093/rfs/hhn053.</w:t>
      </w:r>
    </w:p>
    <w:p>
      <w:pPr>
        <w:spacing w:after="140" w:line="276" w:lineRule="auto"/>
        <w:ind w:left="480" w:hanging="480"/>
        <w:jc w:val="both"/>
      </w:pPr>
      <w:r>
        <w:rPr>
          <w:rFonts w:ascii="Times New Roman" w:cs="Times New Roman" w:eastAsia="Times New Roman" w:hAnsi="Times New Roman"/>
          <w:sz w:val="24"/>
          <w:szCs w:val="24"/>
        </w:rPr>
        <w:t xml:space="preserve">Roth J. Pretest with caution: event-study estimates after testing for parallel trends // American Economic Review: Insights. 2022. Vol. 4. No. 3. P. 305–322. DOI: 10.1257/aeri.20210236.</w:t>
      </w:r>
    </w:p>
    <w:p>
      <w:pPr>
        <w:spacing w:after="140" w:line="276" w:lineRule="auto"/>
        <w:ind w:left="480" w:hanging="480"/>
        <w:jc w:val="both"/>
      </w:pPr>
      <w:r>
        <w:rPr>
          <w:rFonts w:ascii="Times New Roman" w:cs="Times New Roman" w:eastAsia="Times New Roman" w:hAnsi="Times New Roman"/>
          <w:sz w:val="24"/>
          <w:szCs w:val="24"/>
        </w:rPr>
        <w:t xml:space="preserve">Roth J., Sant'Anna P. H. C., Bilinski A., Poe J. What's trending in difference-in-differences? A synthesis of the recent econometrics literature // Journal of Econometrics. 2023. Vol. 235. No. 2. P. 2218–2244. DOI: 10.1016/j.jeconom.2023.03.008.</w:t>
      </w:r>
    </w:p>
    <w:p>
      <w:pPr>
        <w:spacing w:after="140" w:line="276" w:lineRule="auto"/>
        <w:ind w:left="480" w:hanging="480"/>
        <w:jc w:val="both"/>
      </w:pPr>
      <w:r>
        <w:rPr>
          <w:rFonts w:ascii="Times New Roman" w:cs="Times New Roman" w:eastAsia="Times New Roman" w:hAnsi="Times New Roman"/>
          <w:sz w:val="24"/>
          <w:szCs w:val="24"/>
        </w:rPr>
        <w:t xml:space="preserve">Sun L., Abraham S. Estimating dynamic treatment effects in event studies with heterogeneous treatment effects // Journal of Econometrics. 2021. Vol. 225. No. 2. P. 175–199. DOI: 10.1016/j.jeconom.2020.09.006.</w:t>
      </w:r>
    </w:p>
    <w:p>
      <w:pPr>
        <w:spacing w:after="140" w:line="276" w:lineRule="auto"/>
        <w:ind w:left="480" w:hanging="480"/>
        <w:jc w:val="both"/>
      </w:pPr>
      <w:r>
        <w:rPr>
          <w:rFonts w:ascii="Times New Roman" w:cs="Times New Roman" w:eastAsia="Times New Roman" w:hAnsi="Times New Roman"/>
          <w:sz w:val="24"/>
          <w:szCs w:val="24"/>
        </w:rPr>
        <w:t xml:space="preserve">Teece D. J. Business models, business strategy and innovation // Long Range Planning. 2010. Vol. 43. No. 2–3. P. 172–194. DOI: 10.1016/j.lrp.2009.07.003.</w:t>
      </w:r>
    </w:p>
    <w:p>
      <w:pPr>
        <w:spacing w:after="140" w:line="276" w:lineRule="auto"/>
        <w:ind w:left="480" w:hanging="480"/>
        <w:jc w:val="both"/>
      </w:pPr>
      <w:r>
        <w:rPr>
          <w:rFonts w:ascii="Times New Roman" w:cs="Times New Roman" w:eastAsia="Times New Roman" w:hAnsi="Times New Roman"/>
          <w:sz w:val="24"/>
          <w:szCs w:val="24"/>
        </w:rPr>
        <w:t xml:space="preserve">Teece D. J., Pisano G., Shuen A. Dynamic capabilities and strategic management // Strategic Management Journal. 1997. Vol. 18. No. 7. P. 509–533. DOI: 10.1002/(SICI)1097-0266(199708)18:7&lt;509::AID-SMJ882&gt;3.0.CO;2-Z.</w:t>
      </w:r>
    </w:p>
    <w:p>
      <w:pPr>
        <w:spacing w:after="140" w:line="276" w:lineRule="auto"/>
        <w:ind w:left="480" w:hanging="480"/>
        <w:jc w:val="both"/>
      </w:pPr>
      <w:r>
        <w:rPr>
          <w:rFonts w:ascii="Times New Roman" w:cs="Times New Roman" w:eastAsia="Times New Roman" w:hAnsi="Times New Roman"/>
          <w:sz w:val="24"/>
          <w:szCs w:val="24"/>
        </w:rPr>
        <w:t xml:space="preserve">Wooldridge J. M. Econometric Analysis of Cross Section and Panel Data. 2nd ed. Cambridge, MA: MIT Press, 2010. 1064 p.</w:t>
      </w:r>
    </w:p>
    <w:p>
      <w:pPr>
        <w:spacing w:after="140" w:line="276" w:lineRule="auto"/>
        <w:ind w:left="480" w:hanging="480"/>
        <w:jc w:val="both"/>
      </w:pPr>
      <w:r>
        <w:rPr>
          <w:rFonts w:ascii="Times New Roman" w:cs="Times New Roman" w:eastAsia="Times New Roman" w:hAnsi="Times New Roman"/>
          <w:sz w:val="24"/>
          <w:szCs w:val="24"/>
        </w:rPr>
        <w:t xml:space="preserve">Yalcin E., Felbermayr G., Kariem H., Kirilakha A., Kwon O., Syropoulos C., Yotov Y. V. The Global Sanctions Data Base — Release 4: the heterogeneous effects of the sanctions on Russia // The World Economy. 2025. Vol. 48. No. 9. P. 2003–2017. DOI: 10.1111/twec.13732.</w:t>
      </w:r>
    </w:p>
    <w:p>
      <w:pPr>
        <w:spacing w:after="140" w:line="276" w:lineRule="auto"/>
        <w:ind w:left="480" w:hanging="480"/>
        <w:jc w:val="both"/>
      </w:pPr>
      <w:r>
        <w:rPr>
          <w:rFonts w:ascii="Times New Roman" w:cs="Times New Roman" w:eastAsia="Times New Roman" w:hAnsi="Times New Roman"/>
          <w:sz w:val="24"/>
          <w:szCs w:val="24"/>
        </w:rPr>
        <w:t xml:space="preserve">Zott C., Amit R., Massa L. The business model: recent developments and future research // Journal of Management. 2011. Vol. 37. No. 4. P. 1019–1042. DOI: 10.1177/0149206311406265.</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Эконометрическая методика оценки влияния санкционных шоков на трансформацию бизнес-модели компаний IT-отрасли</dc:title>
  <dc:creator>Автор диссертационного исследования</dc:creator>
  <cp:lastModifiedBy>Un-named</cp:lastModifiedBy>
  <cp:revision>1</cp:revision>
  <dcterms:created xsi:type="dcterms:W3CDTF">2026-09-03T15:56:28.939Z</dcterms:created>
  <dcterms:modified xsi:type="dcterms:W3CDTF">2026-09-03T15:56:28.939Z</dcterms:modified>
</cp:coreProperties>
</file>

<file path=docProps/custom.xml><?xml version="1.0" encoding="utf-8"?>
<Properties xmlns="http://schemas.openxmlformats.org/officeDocument/2006/custom-properties" xmlns:vt="http://schemas.openxmlformats.org/officeDocument/2006/docPropsVTypes"/>
</file>