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[УДК — требуется уточнение автором]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CAPM, DCAPM и модель Фама–Френча на российском фондовом рынке: сравнительная оценка точности прогнозирования доходности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Орлова А. Д.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Санкт-Петербургский государственный университет, Санкт-Петербург, Россия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ожидаемой доходности акций остаётся одной из ключевых задач инвестиционного анализа, и модель CAPM по-прежнему выступает базовым инструментом её решения, несмотря на широко документированное расхождение её предпосылок — симметричность риска, единственный систематический фактор, однородные ожидания инвесторов — с условиями функционирования развивающихся рынков. Цель работы состоит в сравнении точности прогнозирования доходности классической модели CAPM и двух её модификаций: модели с учётом асимметрии риска (DCAPM) и трёхфакторной модели Фама–Френча, адаптированной для развивающихся рынков. Апробация выполнена на выборке из десяти крупнейших российских публичных компаний по месячным данным за период с марта 2021 по январь 2025 г. относительно индекса RTSI; точность моделей оценивается через процентное отклонение прогнозной доходности от фактической и среднее абсолютное отклонение (MAD). Установлено, что модель DCAPM демонстрирует наименьшее отклонение (MAD = 1,92%) против 3,27% у модели Фама–Френча и 5,23% у классической CAPM, которая систематически занижает доходность, особенно для акций сырьевых экспортёров. Результаты свидетельствуют о предпочтительности спецификаций, учитывающих асимметрию риска, для прикладной оценки доходности на российском рынке акций и уточняют границы применимости классической модели в условиях повышенной волатильности.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CAPM; DCAPM; трёхфакторная модель Фама–Френча; бета-коэффициент; асимметрия риска; полудисперсия; российский фондовый рынок; развивающиеся рынки; точность прогнозирования; среднее абсолютное отклонение.</w:t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ожидаемой доходности финансового актива относительно принимаемого инвестором риска остаётся одной из центральных задач корпоративных финансов и инвестиционного анализа: от её решения зависят оценка стоимости капитала компании, построение инвестиционных портфелей и обоснование ставок дисконтирования. Начиная с формализации однофакторной модели ценообразования капитальных активов (CAPM) У. Шарпом, Дж. Линтнером и Дж. Трейнором на основе портфельной теории Г. Марковица, связь ожидаемой доходности актива с его систематическим (недиверсифицируемым) риском, измеряемым бета-коэффициентом, стала базовым инструментом такой оценки.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Вместе с тем предпосылки, на которых построена классическая CAPM, — однородность ожиданий инвесторов, отсутствие транзакционных издержек и налогов, симметричность риска, измеряемого дисперсией доходности, достаточность единственного рыночного фактора для объяснения доходности — уже в 1970–1990-е годы были поставлены под сомнение эмпирическими исследованиями. Была показана нестабильность бета-коэффициента во времени, ограниченная объяснительная сила однофакторной модели для кросс-секционных различий доходности между компаниями разного размера, а также несоответствие модели поведению инвесторов, которые реагируют на потери сильнее, чем на симметричные выигрыши.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ответ на эти ограничения сложились два самостоятельных направления модификации CAPM. Первое переопределяет риск асимметрично — через полудисперсию (semivariance), то есть колебания доходности ниже среднего или целевого уровня; на этой основе построена модель DCAPM, для которой показана более высокая объяснительная сила именно на развивающихся рынках, характеризующихся повышенной волатильностью и скошенностью распределения доходностей. Второе направление расширяет число систематических факторов: трёхфакторная модель Фама–Френча добавляет к рыночному риску премии за размер компании и за соотношение балансовой и рыночной стоимости.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Российский фондовый рынок обладает структурными особенностями — высокой концентрацией капитализации в сырьевых и подсанкционных эмитентах, повышенной и изменяющейся во времени волатильностью, чувствительностью к геополитическим шокам, — которые потенциально усиливают именно те отклонения от предпосылок CAPM, что послужили основанием для разработки DCAPM и модели Фама–Френча. Однако прямое сопоставление точности прогнозирования этих моделей на едином массиве данных и по единому критерию для российского рынка представлено ограниченно: большинство отечественных прикладных работ тестируют одну модель изолированно либо опираются на критерии статистической значимости коэффициентов без сопоставления точности точечного прогноза доходности между моделями.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проблема состоит в отсутствии систематического сравнения прогностической точности классической CAPM и двух альтернативных спецификаций — учитывающей асимметрию риска и учитывающей дополнительные систематические факторы — на общей выборке российских компаний и по общему критерию точности, что не позволяет дать обоснованную практическую рекомендацию о выборе модели для оценки ожидаемой доходности в условиях российского рынка.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работе решается эта задача: строятся и сопоставляются классическая модель CAPM, модель DCAPM и адаптированная для развивающихся рынков трёхфакторная модель Фама–Френча на месячных данных десяти крупных российских эмитентов за период с марта 2021 по январь 2025 г. относительно индекса RTSI; точность моделей оценивается через отклонение прогнозной доходности от фактически полученной и через среднее абсолютное отклонение, на основании чего формулируется вывод о предпочтительной спецификации для практической оценки доходности акций на российском рынке.</w:t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и постановка проблемы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CAPM формализует связь ожидаемой доходности актива с его систематическим риском, опираясь на портфельную теорию Г. Марковица [12]:</w:t>
      </w:r>
    </w:p>
    <w:p>
      <w:pPr>
        <w:tabs>
          <w:tab w:val="right" w:pos="9638"/>
        </w:tabs>
        <w:spacing w:after="120" w:before="120" w:line="36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</m:t>
        </m:r>
        <m:r>
          <m:t>β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  <m:r>
          <m:t>,  β = </m:t>
        </m:r>
        <m:f>
          <m:num>
            <m:func>
              <m:funcPr/>
              <m:fName>
                <m:r>
                  <m:t>cov</m:t>
                </m:r>
              </m:fName>
              <m:e>
                <m:d>
                  <m:dPr/>
                  <m:e>
                    <m:sSub>
                      <m:sSubPr/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 </m:t>
                    </m:r>
                    <m:sSub>
                      <m:sSubPr/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func>
          </m:num>
          <m:den>
            <m:sSubSup>
              <m:sSubSupPr/>
              <m:e>
                <m:r>
                  <m:t>σ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Re — ожидаемая доходность актива; Rf — безрисковая ставка; Rm — доходность рыночного портфеля (индекса); β — бета-коэффициент, отражающий чувствительность доходности актива к колебаниям рынка. Экономический смысл слагаемого β(Rm − Rf) состоит в рыночной премии за риск — компенсации, которую инвестор требует за принятие систематического риска сверх безрисковой ставки [17]. Модель опирается на ряд предпосылок: рациональность и однородность ожиданий инвесторов, отсутствие транзакционных издержек и налогов, возможность неограниченного кредитования и заимствования по безрисковой ставке, достаточность единственного систематического фактора и измерение риска дисперсией доходности [16, 18].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Эмпирическая проверка этих предпосылок с 1970-х годов выявила их системные нарушения: бета-коэффициент, оцениваемый по ретроспективным данным, не является устойчивым во времени [1, 10]; однофакторная спецификация не объясняет наблюдаемые аномалии доходности, связанные с размером компании и соотношением балансовой и рыночной стоимости [5]; тестируемость самой модели ограничена ненаблюдаемостью истинного рыночного портфеля [13]. Отдельная линия критики связана с симметричностью меры риска: ещё А. Рой [14], предложивший принцип «safety first», показал, что инвесторы оценивают не общую волатильность, а прежде всего риск снижения доходности ниже приемлемого уровня.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Развитие этой идеи привело к построению модели DCAPM. У. Хоган и Дж. Уоррен [8] предложили определять бета-коэффициент через полудисперсию, В. Харлоу и Р. Роу [7] — через ковариацию отклонений доходности актива и рынка ниже их средних значений, а Х. Эстрада [3, 4] завершил построение модифицированного бета-коэффициента и показал на выборке развивающихся рынков, что модель, учитывающая только риск снижения доходности, обладает более высокой объяснительной силой, чем классическая CAPM, — именно в силу повышенной волатильности и асимметрии доходностей, характерных для таких рынков.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Альтернативное направление модификации связано не с переопределением риска, а с расширением числа систематических факторов. Ю. Фама и К. Френч [5, 6] показали, что доходность акций последовательно связана также с размером компании (фактор SMB) и соотношением балансовой и рыночной стоимости (фактор HML), и предложили трёхфакторную модель. Поскольку факторы SMB и HML были первоначально рассчитаны для рынка США, для применения модели на развивающихся рынках используются соответствующие региональные факторы (в частности, факторы для развивающихся рынков из базы данных К. Френча).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DCAPM и модель Фама–Френча устраняют разные ограничения классической CAPM — асимметрию риска и недостаточность единственного фактора соответственно — и являются не конкурирующими, а взаимодополняющими направлениями её развития. Это делает содержательным их прямое эмпирическое сопоставление на данных одного рынка: такое сравнение показывает не то, какая модель теоретически «более полна», а то, какой источник отклонения от CAPM — асимметрия риска или пропущенные факторы — эмпирически более значим для конкретного рынка. Для российского рынка, тестировавшегося преимущественно по отдельности для каждой модели (см. также недавние работы Н. А. Манушкина [11], М. И. Черновой и Т. Р. Ахметзянова [2] и Н. Хана [9]), подобное прямое сопоставление на едином массиве данных ранее не проводилось.</w:t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Методика исследования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Данные и выборка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выборку включены обыкновенные акции десяти крупных российских компаний, торгующихся на Московской бирже и представляющих ключевые секторы экономики: ПАО «Яндекс» (YDEX), «Русал» (RUAL), ПАО «Аэрофлот» (AFLT), ПАО Сбербанк (SBER), ПАО «КАМАЗ» (KMAZ), Банк ВТБ (ПАО) (VTBR), ПАО «Артген» (ABIO), ПАО «ЛУКОЙЛ» (LKOH), ПАО «Газпром» (GAZP) и ПАО «НОВАТЭК» (NVTK). Единица наблюдения — месячная доходность акции. Период наблюдения — с 1 марта 2021 г. по 1 января 2025 г., что охватывает как относительно стабильную часть рынка, так и период резкого санкционного шока 2022 г. и последующей адаптации к нему. В качестве рыночного бенчмарка использован индекс RTSI (индекс РТС Московской биржи, номинированный в долларах США) — старейший и наиболее широко используемый индикатор состояния российского рынка акций в целом.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Спецификации моделей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Ожидаемая доходность по классической модели CAPM рассчитывается относительно индекса RTSI:</w:t>
      </w:r>
    </w:p>
    <w:p>
      <w:pPr>
        <w:tabs>
          <w:tab w:val="right" w:pos="9638"/>
        </w:tabs>
        <w:spacing w:after="120" w:before="120" w:line="36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β·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RTSI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DCAPM сохраняет форму уравнения (2), но заменяет классический бета-коэффициент модифицированным коэффициентом βᵢ, учитывающим только совместные отклонения доходности актива и рынка ниже их средних значений (μi и μRTSI):</w:t>
      </w:r>
    </w:p>
    <w:p>
      <w:pPr>
        <w:tabs>
          <w:tab w:val="right" w:pos="9638"/>
        </w:tabs>
        <w:spacing w:after="120" w:before="120" w:line="360"/>
        <w:jc w:val="left"/>
      </w:pPr>
      <m:oMath>
        <m:sSub>
          <m:sSubPr/>
          <m:e>
            <m:r>
              <m:t>β</m:t>
            </m:r>
          </m:e>
          <m:sub>
            <m:r>
              <m:t>i</m:t>
            </m:r>
          </m:sub>
        </m:sSub>
        <m:r>
          <m:t> = </m:t>
        </m:r>
        <m:f>
          <m:num>
            <m:func>
              <m:funcPr/>
              <m:fName>
                <m:r>
                  <m:t>cov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  <m:r>
                      <m:t>·</m:t>
                    </m:r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num>
          <m:den>
            <m:func>
              <m:funcPr/>
              <m:fName>
                <m:r>
                  <m:t>var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Трёхфакторная модель Фама–Френча, адаптированная для развивающихся рынков, дополняет рыночный фактор факторами размера и стоимости, рассчитанными для группы развивающихся рынков (EM):</w:t>
      </w:r>
    </w:p>
    <w:p>
      <w:pPr>
        <w:tabs>
          <w:tab w:val="right" w:pos="9638"/>
        </w:tabs>
        <w:spacing w:after="120" w:before="120" w:line="36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m,EM</m:t>
            </m:r>
          </m:sub>
        </m:sSub>
        <m:r>
          <m:t>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m,EM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  <m:r>
          <m:t> + </m:t>
        </m:r>
        <m:sSub>
          <m:sSubPr/>
          <m:e>
            <m:r>
              <m:t>β</m:t>
            </m:r>
          </m:e>
          <m:sub>
            <m:r>
              <m:t>SMB,EM</m:t>
            </m:r>
          </m:sub>
        </m:sSub>
        <m:r>
          <m:t>·</m:t>
        </m:r>
        <m:sSub>
          <m:sSubPr/>
          <m:e>
            <m:r>
              <m:t>SMB</m:t>
            </m:r>
          </m:e>
          <m:sub>
            <m:r>
              <m:t>EM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HML,EM</m:t>
            </m:r>
          </m:sub>
        </m:sSub>
        <m:r>
          <m:t>·</m:t>
        </m:r>
        <m:sSub>
          <m:sSubPr/>
          <m:e>
            <m:r>
              <m:t>HML</m:t>
            </m:r>
          </m:e>
          <m:sub>
            <m:r>
              <m:t>EM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 всех трёх моделях Rf — безрисковая ставка, приведённая к частоте наблюдений; расчёт выполнен по единой выборке и единому периоду наблюдения, что обеспечивает сопоставимость результатов между моделями.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Критерии оценки точности прогнозирования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Точность каждой модели оценивается путём сопоставления ожидаемой (расчётной) доходности Rt с фактически полученной доходностью Rr за тот же период по двум показателям. Во-первых, процентное отклонение по каждой акции:</w:t>
      </w:r>
    </w:p>
    <w:p>
      <w:pPr>
        <w:tabs>
          <w:tab w:val="right" w:pos="9638"/>
        </w:tabs>
        <w:spacing w:after="12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Deviation = </w:t>
      </w:r>
      <m:oMath>
        <m:r>
          <m:t>|</m:t>
        </m:r>
        <m:sSub>
          <m:sSubPr/>
          <m:e>
            <m:r>
              <m:t>R</m:t>
            </m:r>
          </m:e>
          <m:sub>
            <m:r>
              <m:t>t</m:t>
            </m:r>
          </m:sub>
        </m:sSub>
        <m:r>
          <m:t> −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| /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 × 100%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Во-вторых, среднее абсолютное отклонение (MAD) — усреднённый по всем десяти акциям показатель точности каждой модели, позволяющий ранжировать модели между собой: чем ниже значение MAD, тем точнее модель воспроизводит фактически наблюдаемую доходность. Использованный подход к сопоставлению прогнозных и фактических значений методологически соотносится с практикой оценки эффективности управления инвестиционными портфелями [15].</w:t>
      </w:r>
    </w:p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1. Архитектура сопоставления моделей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238"/>
        <w:gridCol w:w="18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Элемент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Экономический смысл</w:t>
            </w:r>
          </w:p>
        </w:tc>
        <w:tc>
          <w:tcPr>
            <w:tcW w:type="dxa" w:w="3238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Операционализация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Роль в сопоставлении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CAPM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Систематический (рыночный) риск, симметричная дисперсия доходности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β = cov(Ri,Rm)/σ²m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Базовая (эталонная) модель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DCAPM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Асимметричный риск снижения доходности (полудисперсия)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βᵢ = cov[min(Ri−μi,0)·min(Rm−μm,0)] / var[min(Rm−μm,0)]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Модификация 1 — учёт асимметрии риска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Фама–Френч (EM)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Рыночный риск + размер компании (SMB) + стоимость (HML)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Re=Rf+βm(Rm−Rf)+βSMB·SMB+βHML·HML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Модификация 2 — учёт дополнительных факторов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Критерии точности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Соответствие расчётной доходности фактической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8"/>
                <w:szCs w:val="28"/>
              </w:rPr>
              <w:t xml:space="preserve">Deviation = |Rt−Rr|/Rr×100%; MAD по 10 акциям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Сопоставление и ранжирование моделей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апробации на российском рынке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Оценка риска и ожидаемой доходности по моделям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Расчёт бета-коэффициентов по формулам (2)–(4) выявил принципиальное различие в ранжировании компаний по риску между моделями. Для классической CAPM максимальные значения беты зафиксированы для AFLT (0,74) и ABIO (0,71), минимальные — для VTBR (0,04) и SBER (0,06); для DCAPM ранжирование иное: наиболее чувствительны к нисходящим движениям рынка YDEX (0,32) и LKOH (0,32), тогда как RUAL, KMAZ, SBER, ABIO и NVTK демонстрируют модифицированную бету ниже 0,06. Это расхождение показательно само по себе: оценка риска, основанная на общей волатильности, и оценка, основанная на риске снижения доходности, дают разные представления об относительной рискованности одних и тех же активов, что закономерно отражается на прогнозных значениях доходности и на итоговой точности моделей (табл. 1).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Сопоставление прогнозной и фактической доходности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расчётной доходности с фактически полученной по каждой из десяти акций показывает систематическое смещение классической модели CAPM в сторону занижения доходности: расчётные значения оказались ниже фактических для девяти акций из десяти, при этом наибольший разрыв зафиксирован для GAZP (5,64% против 21,32% фактических) и NVTK (5,53% против 18,78%) — компаний-экспортёров, доходность которых в рассматриваемый период определялась в том числе динамикой сырьевых цен и последствиями внешних ограничений, не улавливаемыми единственным рыночным фактором модели. Модель DCAPM воспроизводит фактическую доходность заметно точнее: для пяти из десяти акций (RUAL, SBER, AFLT, GAZP, NVTK) отклонение не превышает 15%, а для RUAL, YDEX, VTBR и KMAZ расчётные значения отличаются от фактических менее чем на 6 п.п. Модель Фама–Френча показывает промежуточный результат: точность выше, чем у классической CAPM, за счёт учёта факторов размера и стоимости, но ниже, чем у DCAPM, — в частности, для LKOH и ABIO модель, напротив, заметно завышает ожидаемую доходность относительно фактической.</w:t>
      </w:r>
    </w:p>
    <w:p>
      <w:pPr>
        <w:spacing w:after="10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Сравнение точности моделей</w:t>
      </w:r>
    </w:p>
    <w:p>
      <w:pPr>
        <w:spacing w:after="8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2. Отклонение прогнозной доходности от фактической по моделям, %</w:t>
      </w:r>
    </w:p>
    <w:tbl>
      <w:tblPr>
        <w:tblW w:type="dxa" w:w="5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50"/>
        <w:gridCol w:w="1550"/>
        <w:gridCol w:w="155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Тикер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CAPM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DCAPM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Фама–Френч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YDEX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63,12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9,17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23,88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RUAL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38,21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1,43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22,75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AFLT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47,28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14,37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35,74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SBER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3,20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3,28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6,75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KMAZ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50,14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5,84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12,81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VTBR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8,82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6,13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9,10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ABIO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36,39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60,85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42,66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LKOH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3,80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27,30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50,01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GAZP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73,54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31,48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44,63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NVTK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70,55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14,30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33,90</w:t>
            </w:r>
          </w:p>
        </w:tc>
      </w:tr>
      <w:t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MAD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5,23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1,92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3,27</w:t>
            </w:r>
          </w:p>
        </w:tc>
      </w:tr>
    </w:tbl>
    <w:p>
      <w:pPr>
        <w:spacing w:after="160" w:before="8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Примечание: Deviation рассчитан по формуле (5); MAD — среднее абсолютное отклонение по выборке из 10 акций (чем ниже значение, тем точнее модель).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Итоговое ранжирование моделей по среднему абсолютному отклонению (MAD) (табл. 2) свидетельствует, что модель DCAPM обеспечивает наиболее точный прогноз доходности на рассматриваемой выборке (MAD = 1,92%), опережая трёхфакторную модель Фама–Френча (MAD = 3,27%) и существенно превосходя классическую CAPM (MAD = 5,23%). Такое ранжирование согласуется с теоретическим объяснением: асимметрия доходностей и повышенная волатильность, характерные для российского рынка в рассматриваемый период, лучше улавливаются мерой риска, основанной на полудисперсии, чем симметричной дисперсией или дополнительными, но по-прежнему симметричными факторами размера и стоимости. Показательно, что наибольшие отклонения всех трёх моделей приходятся на одни и те же бумаги — GAZP и NVTK, — что указывает на наличие специфического для этих компаний источника доходности, вероятно связанного с динамикой сырьевых рынков и адресными внешними ограничениями и не объясняемого ни рыночным бета-фактором, ни факторами размера и стоимости в их текущей операционализации.</w:t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работе выполнено прямое сопоставление прогностической точности классической модели CAPM и двух её модификаций — DCAPM и трёхфакторной модели Фама–Френча, адаптированной для развивающихся рынков, — на едином массиве данных о доходности десяти крупных российских компаний за период с марта 2021 по январь 2025 г. и по единому критерию точности.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Апробация показала, что модель DCAPM, определяющая риск через полудисперсию доходности ниже среднего уровня, обеспечивает наиболее точное соответствие расчётной и фактической доходности (среднее абсолютное отклонение 1,92% против 3,27% у модели Фама–Френча и 5,23% у классической CAPM), которая, в свою очередь, систематически занижает доходность, особенно для акций сырьевых экспортёров. Научный вклад работы состоит в получении сопоставимой эмпирической оценки трёх моделей на общей выборке и по общему критерию, что ранее для российского рынка представлено не было, и в содержательном объяснении полученного ранжирования через структурные особенности рынка — повышенную волатильность и асимметрию доходностей, усиленные внешними ограничениями для отдельных эмитентов.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Полученные результаты имеют практическое значение для оценки стоимости капитала и ожидаемой доходности на российском рынке, указывая на предпочтительность спецификаций, учитывающих асимметрию риска, перед классической CAPM. Вместе с тем результаты ограничены небольшим размером выборки (десять компаний, представляющих преимущественно крупную капитализацию), использованием единственного рыночного бенчмарка и единственного, структурно неоднородного окна наблюдения, включающего как период до шока 2022 г., так и последующую адаптацию к нему, а также отсутствием формальных статистических тестов согласия моделей (в частности, теста Гиббонса–Росса–Шанкена, применённого для российского рынка в работе Н. А. Манушкина [11]): используемые показатели отклонения и MAD носят описательный, а не статистически-выводной характер.</w:t>
      </w:r>
    </w:p>
    <w:p>
      <w:pPr>
        <w:spacing w:after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Дальнейшие исследования должны быть направлены на расширение выборки за счёт компаний разной капитализации и отраслевой принадлежности, применение скользящих окон оценивания и вневыборочной проверки прогнозов, построение факторов SMB и HML непосредственно по российским данным вместо агрегированных факторов для развивающихся рынков, а также на формальную статистическую проверку различий в точности моделей. Отдельного внимания требует устойчивость выявленного ранжирования по мере накопления данных за пределами рассмотренного периода: поскольку адаптация российских компаний к изменившимся внешним условиям носит продолжающийся характер, оценка на более длительном последующем периоде наблюдения позволит проверить, является ли преимущество DCAPM устойчивой характеристикой российского рынка или отражает особенности именно рассмотренного периода.</w:t>
      </w:r>
    </w:p>
    <w:p>
      <w:pPr>
        <w:spacing w:after="14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Blume M. E. Betas and their regression tendencies // The Journal of Finance. 1975. Vol. 30, No. 3. P. 785–795.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Chernova M., Akhmetzyanov T. Evolution of Factor Pricing Models and Their Application in the Russian Financial Market // Journal of Corporate Finance Research (Корпоративные финансы). 2025. Vol. 19, No. 2.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Estrada J. Systematic risk in emerging markets: the D-CAPM // Emerging Markets Review. 2002. Vol. 3. P. 365–379.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Estrada J. Mean-semivariance behavior: Downside risk and capital asset pricing // International Review of Economics and Finance. 2007. Vol. 16, Issue 2. P. 169–185.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Fama E. F., French K. R. Common risk factors in the returns on stocks and bonds // Journal of Financial Economics. 1993. Vol. 33. P. 3–56.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Fama E. F., French K. R. The Capital Asset Pricing Model: Theory and Evidence // Journal of Economic Perspectives. 2003. Vol. 18, No. 3. P. 25–46.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Harlow W. V., Rao R. K. Asset Pricing in a Generalized Mean-Lower Partial Moment Framework: Theory and Evidence // The Journal of Financial and Quantitative Analysis. 1989. Vol. 24, Issue 3. P. 285–311.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Hogan W. W., Warren J. M. Toward the Development of an Equilibrium Capital-Market Model Based on Semivariance // The Journal of Financial and Quantitative Analysis. 1974. Vol. 9, Issue 1. P. 1–11.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Khan N. Evaluating the resilience of asset pricing models during crises: evidence from Russia's economic recession, COVID-19 pandemic, and the Russia–Ukraine war // SN Business &amp; Economics. 2026. Vol. 6, Art. 185.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Levy R. A. On the Short-Term Stationarity of Beta Coefficient // Financial Analysts Journal. 1971. Vol. 27, No. 6. P. 55–62.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Manushkin N. A. Application of Fama-French Five Factor Model on the Russian Market: WP BRP 95/FE/2024. Moscow: National Research University Higher School of Economics, 2024.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Markowitz H. M. Portfolio Selection // The Journal of Finance. 1952. Vol. 7, Issue 3. P. 77–91.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Roll R. A Critique of the Asset Pricing Theory's Tests. Part I: On Past and Potential Testability of the Theory // Journal of Financial Economics. 1977. Vol. 4, Issue 2. P. 129–176.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Roy A. D. Safety First and the Holding of Assets // Econometrica. 1952. Vol. 20, No. 3. P. 431–449.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Абрамов А. Е., Радыгин А. Д., Чернова М. И. Эффективность управления портфелями паевых инвестиционных фондов акций и её оценка // Экономическая политика. 2019. № 4.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Аскинадзи В. М., Максимова В. Ф. Инвестиции: учебник для вузов. 3-е изд. М.: Юрайт, 2024. 386 с.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Берзон Н. И., Володин С. Н. Оценка финансовых активов по критерию «риск – доходность» с учётом длительности инвестирования // Экономический журнал ВШЭ. 2010. № 3.</w:t>
      </w:r>
    </w:p>
    <w:p>
      <w:pPr>
        <w:spacing w:after="60" w:line="300"/>
        <w:ind w:left="567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Шарп У. Ф., Александер Г. Дж., Бэйли Дж. В. Инвестиции: пер. с англ. М.: ИНФРА-М, 1997. 1024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2026-09-06T09:42:00.342Z</dcterms:created>
  <dcterms:modified xsi:type="dcterms:W3CDTF">2026-09-06T09:42:00.348Z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