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60" w:before="240" w:line="360" w:lineRule="auto"/>
        <w:jc w:val="center"/>
      </w:pPr>
      <w:r>
        <w:rPr>
          <w:rFonts w:ascii="Times New Roman" w:cs="Times New Roman" w:eastAsia="Times New Roman" w:hAnsi="Times New Roman"/>
          <w:b/>
          <w:bCs/>
          <w:sz w:val="32"/>
          <w:szCs w:val="32"/>
        </w:rPr>
        <w:t xml:space="preserve">ВВЕДЕНИЕ</w:t>
      </w:r>
    </w:p>
    <w:p>
      <w:pPr>
        <w:spacing w:after="160" w:before="0" w:line="360" w:lineRule="auto"/>
        <w:ind w:firstLine="709"/>
        <w:jc w:val="both"/>
      </w:pPr>
      <w:r>
        <w:rPr>
          <w:rFonts w:ascii="Times New Roman" w:cs="Times New Roman" w:eastAsia="Times New Roman" w:hAnsi="Times New Roman"/>
          <w:b/>
          <w:bCs/>
          <w:sz w:val="28"/>
          <w:szCs w:val="28"/>
        </w:rPr>
        <w:t xml:space="preserve">Актуальность темы исследования.</w:t>
      </w:r>
      <w:r>
        <w:rPr>
          <w:rFonts w:ascii="Times New Roman" w:cs="Times New Roman" w:eastAsia="Times New Roman" w:hAnsi="Times New Roman"/>
          <w:sz w:val="28"/>
          <w:szCs w:val="28"/>
        </w:rPr>
        <w:t xml:space="preserve"> Экономические санкции превратились за последнее десятилетие из инструмента точечного внешнеполитического давления в фактор, системно определяющий условия функционирования целых национальных экономик. По данным независимой аналитической платформы Castellum.AI, специализирующейся на систематизации санкционных режимов, по состоянию на середину 2025 г. в отношении Российской Федерации действовало свыше 30 тысяч нефинансовых и неторговых ограничительных мер, свыше 92% которых введено после февраля 2022 г., что делает Россию страной с наибольшим числом действующих санкционных ограничений в современной истории. Подобный масштаб санкционного давления сам по себе образует значимый предмет экономического анализа; для настоящего исследования, однако, существен не факт масштаба, а то обстоятельство, что интенсивность и характер данного давления принципиально неоднородны как между отраслями российской экономики, так и между отдельными компаниями внутри одной отрасли.</w:t>
      </w:r>
    </w:p>
    <w:p>
      <w:pPr>
        <w:spacing w:after="160" w:before="0" w:line="360" w:lineRule="auto"/>
        <w:ind w:firstLine="709"/>
        <w:jc w:val="both"/>
      </w:pPr>
      <w:r>
        <w:rPr>
          <w:rFonts w:ascii="Times New Roman" w:cs="Times New Roman" w:eastAsia="Times New Roman" w:hAnsi="Times New Roman"/>
          <w:sz w:val="28"/>
          <w:szCs w:val="28"/>
        </w:rPr>
        <w:t xml:space="preserve">Изменение условий функционирования российских компаний вследствие санкционного давления не сводится к единичному эпизоду: режим, введённый начиная с 2014 г. в связи с изменением статуса Крыма, затронул преимущественно финансовый и энергетический секторы, тогда как режим, введённый начиная с 2022 г., приобрёл качественно иной характер — массовый технологический экспортный контроль, добровольный уход значительного числа западных компаний с российского рынка и формирование системного государственного ответа в виде программ импортозамещения и мер государственной поддержки пострадавших отраслей. Последовательность двух исторически различных эпизодов образует не только фактологический фон, но и содержательную исследовательскую возможность, используемую в структуре настоящей диссертации.</w:t>
      </w:r>
    </w:p>
    <w:p>
      <w:pPr>
        <w:spacing w:after="160" w:before="0" w:line="360" w:lineRule="auto"/>
        <w:ind w:firstLine="709"/>
        <w:jc w:val="both"/>
      </w:pPr>
      <w:r>
        <w:rPr>
          <w:rFonts w:ascii="Times New Roman" w:cs="Times New Roman" w:eastAsia="Times New Roman" w:hAnsi="Times New Roman"/>
          <w:sz w:val="28"/>
          <w:szCs w:val="28"/>
        </w:rPr>
        <w:t xml:space="preserve">IT-отрасль испытала на себе один из наиболее концентрированных ударов среди отраслей российской экономики. Уход поставщиков лицензионного программного обеспечения, платформ разработки и облачной инфраструктуры, ограничения на экспорт полупроводников и телекоммуникационного оборудования, блокировка доступа к зарубежным репозиториям и международным платёжным системам затронули практически весь технологический стек отрасли одновременно. Подобная концентрация обусловлена структурными характеристиками отрасли — высокой зависимостью от зарубежных технологических решений, значимой ролью человеческого капитала и расходов на исследования и разработки, интенсивными международными партнёрскими связями и вовлечённостью в глобальные рынки сбыта, — которые делают IT-компанию восприимчивой к санкционному воздействию не через один, а через несколько параллельных каналов. Существенно при этом, что уязвимость отрасли не тождественна её однонаправленному упадку: часть компаний, преимущественно осуществлявших интеграцию зарубежных решений, столкнулась с прямой утратой продуктовой базы, тогда как часть компаний, специализирующихся на разработке отечественных решений, получила возможность расширения рыночной доли за счёт сегментов, освобождённых уходом иностранных конкурентов, — то есть один и тот же шок одновременно выступает источником уязвимости для одних компаний и адаптационным потенциалом для других, что и образует содержательную вариацию, необходимую для последующего эконометрического анализа.</w:t>
      </w:r>
    </w:p>
    <w:p>
      <w:pPr>
        <w:spacing w:after="160" w:before="0" w:line="360" w:lineRule="auto"/>
        <w:ind w:firstLine="709"/>
        <w:jc w:val="both"/>
      </w:pPr>
      <w:r>
        <w:rPr>
          <w:rFonts w:ascii="Times New Roman" w:cs="Times New Roman" w:eastAsia="Times New Roman" w:hAnsi="Times New Roman"/>
          <w:sz w:val="28"/>
          <w:szCs w:val="28"/>
        </w:rPr>
        <w:t xml:space="preserve">Существенно, что реакция компаний отрасли на данное воздействие не сводится к изменению финансовых показателей — выручки, прибыли, рентабельности или рыночной капитализации. Санкционный шок способен инициировать изменение продуктового портфеля, состава ключевых ресурсов и партнёрской сети, географии и структуры каналов сбыта, состава клиентских сегментов, структуры доходов и издержек — то есть системную трансформацию бизнес-модели компании как целостной логики создания, доставки и присвоения ценности. Именно данное обстоятельство переводит проблему из области констатации факта санкционного давления в область измерения: прежде чем оценивать влияние санкций на бизнес-модель, необходимо располагать инструментом, позволяющим зафиксировать саму трансформацию количественно, — задача, не сводимая к простому сопоставлению финансовой отчётности за разные периоды.</w:t>
      </w:r>
    </w:p>
    <w:p>
      <w:pPr>
        <w:spacing w:after="160" w:before="0" w:line="360" w:lineRule="auto"/>
        <w:ind w:firstLine="709"/>
        <w:jc w:val="both"/>
      </w:pPr>
      <w:r>
        <w:rPr>
          <w:rFonts w:ascii="Times New Roman" w:cs="Times New Roman" w:eastAsia="Times New Roman" w:hAnsi="Times New Roman"/>
          <w:sz w:val="28"/>
          <w:szCs w:val="28"/>
        </w:rPr>
        <w:t xml:space="preserve">Данная задача измерения, в свою очередь, неотделима от задачи причинной, а не просто описательной оценки: зафиксировать факт изменения бизнес-модели недостаточно, поскольку подобное изменение может быть вызвано не только санкционным давлением, но и общими макроэкономическими шоками, изменением курса рубля или мерами государственной поддержки, действующими зачастую в том же направлении и одновременно с санкциями. Задача, таким образом, состоит не только в измерении трансформации бизнес-модели, но и в эконометрической идентификации той её части, которая причинно связана именно с интенсивностью санкционного воздействия на конкретную компанию, — задача, требующая одновременно предопределённой меры экспозиции и статистически состоятельной идентификационной стратегии.</w:t>
      </w:r>
    </w:p>
    <w:p>
      <w:pPr>
        <w:spacing w:after="160" w:before="0" w:line="360" w:lineRule="auto"/>
        <w:ind w:firstLine="709"/>
        <w:jc w:val="both"/>
      </w:pPr>
      <w:r>
        <w:rPr>
          <w:rFonts w:ascii="Times New Roman" w:cs="Times New Roman" w:eastAsia="Times New Roman" w:hAnsi="Times New Roman"/>
          <w:sz w:val="28"/>
          <w:szCs w:val="28"/>
        </w:rPr>
        <w:t xml:space="preserve">Обращение к существующей научной литературе показывает, что данный вопрос закрыт лишь частично. Одни исследования измеряют последствия санкций на макроэкономическом уровне, не фиксируя неоднородность реакции отдельных фирм. Другие используют в качестве зависимой переменной агрегированные финансовые показатели, не операционализируя структурную трансформацию бизнес-модели как таковую. Третьи рассматривают адаптацию компаний к шоку качественно, посредством кейс-исследований, не переходя к статистически проверяемой количественной модели. Четвёртые исследуют бизнес-модель как теоретический и измерительный конструкт вне связи с квазиэкспериментальной оценкой конкретного внешнего шока. Пятые применяют отдельные эконометрические методы причинного анализа, не имея операционализированной зависимой переменной, адекватной задаче измерения системной трансформации. Каждое из направлений методологически состоятельно в границах собственного предмета, однако их интеграция — то есть целостный, воспроизводимый инструментарий, объединяющий измерение санкционного воздействия, операционализацию трансформации бизнес-модели, причинную идентификацию эффекта и проверку устойчивости результатов, — в рассмотренной совокупности литературы не выявлена. Данное обстоятельство обусловливает необходимость разработки специальной комплексной эконометрической методики, а не выбора одного из существующих методов в готовом виде, что и составляет центральную задачу настоящего диссертационного исследования.</w:t>
      </w:r>
    </w:p>
    <w:p>
      <w:pPr>
        <w:spacing w:after="160" w:before="0" w:line="360" w:lineRule="auto"/>
        <w:ind w:firstLine="709"/>
        <w:jc w:val="both"/>
      </w:pPr>
      <w:r>
        <w:rPr>
          <w:rFonts w:ascii="Times New Roman" w:cs="Times New Roman" w:eastAsia="Times New Roman" w:hAnsi="Times New Roman"/>
          <w:b/>
          <w:bCs/>
          <w:sz w:val="28"/>
          <w:szCs w:val="28"/>
        </w:rPr>
        <w:t xml:space="preserve">Степень разработанности темы.</w:t>
      </w:r>
      <w:r>
        <w:rPr>
          <w:rFonts w:ascii="Times New Roman" w:cs="Times New Roman" w:eastAsia="Times New Roman" w:hAnsi="Times New Roman"/>
          <w:sz w:val="28"/>
          <w:szCs w:val="28"/>
        </w:rPr>
        <w:t xml:space="preserve"> Систематический обзор литературы позволяет выделить семь относительно самостоятельных научных направлений, совокупность которых образует концептуальную базу настоящего исследования, но ни одно из которых по отдельности не закрывает поставленную научную задачу. Ниже данные направления представлены в компактной, картографической форме; их последовательный критический анализ, включая разбор конкретных теоретических традиций и методов измерения, составляет содержание первой главы диссертации.</w:t>
      </w:r>
    </w:p>
    <w:p>
      <w:pPr>
        <w:spacing w:after="160" w:before="0" w:line="360" w:lineRule="auto"/>
        <w:ind w:firstLine="709"/>
        <w:jc w:val="both"/>
      </w:pPr>
      <w:r>
        <w:rPr>
          <w:rFonts w:ascii="Times New Roman" w:cs="Times New Roman" w:eastAsia="Times New Roman" w:hAnsi="Times New Roman"/>
          <w:sz w:val="28"/>
          <w:szCs w:val="28"/>
        </w:rPr>
        <w:t xml:space="preserve">Первое направление — исследования санкций на макроэкономическом уровне (Hufbauer, Schott, Elliott, Oegg, 2007; Neuenkirch, Neumeier, 2015; Felbermayr, Kirilakha, Syropoulos, Yalcin, Yotov, 2020; Yalcin, Felbermayr, Kariem, Kirilakha, Kwon, Syropoulos, Yotov, 2025) — устанавливает типологию санкций и их агрегированный макроэкономический эффект, но по своей единице анализа (страна) не позволяет наблюдать неоднородность реакции отдельных фирм.</w:t>
      </w:r>
    </w:p>
    <w:p>
      <w:pPr>
        <w:spacing w:after="160" w:before="0" w:line="360" w:lineRule="auto"/>
        <w:ind w:firstLine="709"/>
        <w:jc w:val="both"/>
      </w:pPr>
      <w:r>
        <w:rPr>
          <w:rFonts w:ascii="Times New Roman" w:cs="Times New Roman" w:eastAsia="Times New Roman" w:hAnsi="Times New Roman"/>
          <w:sz w:val="28"/>
          <w:szCs w:val="28"/>
        </w:rPr>
        <w:t xml:space="preserve">Второе направление — firm-level исследования санкционного воздействия (Ahn, Ludema, 2020; Crozet, Hinz, 2020; Besedeš, Goldbach, Nitsch, 2021; Huynh, Hoang, Ongena, 2022; Dobrynina, Grishunin, 2025; Lee, Kumo, 2025) — образует наиболее близкий по форме методологический прецедент, используя панельные данные и авторские индексы санкционного давления, однако неизменно берёт в качестве зависимой переменной финансовые показатели, а не структурную конфигурацию бизнес-модели.</w:t>
      </w:r>
    </w:p>
    <w:p>
      <w:pPr>
        <w:spacing w:after="160" w:before="0" w:line="360" w:lineRule="auto"/>
        <w:ind w:firstLine="709"/>
        <w:jc w:val="both"/>
      </w:pPr>
      <w:r>
        <w:rPr>
          <w:rFonts w:ascii="Times New Roman" w:cs="Times New Roman" w:eastAsia="Times New Roman" w:hAnsi="Times New Roman"/>
          <w:sz w:val="28"/>
          <w:szCs w:val="28"/>
        </w:rPr>
        <w:t xml:space="preserve">Третье направление — исследования адаптации компаний к внешним шокам (Kuzyk, Simachev, 2023; Kazun, Libman, Yakovlev, 2025; Kozachenko, Ryshtein, Bodolica, Shirokova, 2026; Chen, Ermolaeva, Panibratov, 2025) — содержательно наиболее близко к предмету настоящего исследования, но остаётся методом описательной систематизации либо кейс-анализа, не переходя к панельной эконометрической модели с причинной идентификацией.</w:t>
      </w:r>
    </w:p>
    <w:p>
      <w:pPr>
        <w:spacing w:after="160" w:before="0" w:line="360" w:lineRule="auto"/>
        <w:ind w:firstLine="709"/>
        <w:jc w:val="both"/>
      </w:pPr>
      <w:r>
        <w:rPr>
          <w:rFonts w:ascii="Times New Roman" w:cs="Times New Roman" w:eastAsia="Times New Roman" w:hAnsi="Times New Roman"/>
          <w:sz w:val="28"/>
          <w:szCs w:val="28"/>
        </w:rPr>
        <w:t xml:space="preserve">Четвёртое направление — теория динамических способностей (Teece, Pisano, Shuen, 1997; Teece, 2007; Dejardin, Raposo, Ferreira, Fernandes, Veiga, Farinha, 2022; Sahebalzamani, Jørgensen, Bertella, Nilsen, 2022) — обеспечивает основную теоретическую рамку исследования; её количественная операционализация применительно именно к санкционному, а не общекризисному контексту распространена ограниченно.</w:t>
      </w:r>
    </w:p>
    <w:p>
      <w:pPr>
        <w:spacing w:after="160" w:before="0" w:line="360" w:lineRule="auto"/>
        <w:ind w:firstLine="709"/>
        <w:jc w:val="both"/>
      </w:pPr>
      <w:r>
        <w:rPr>
          <w:rFonts w:ascii="Times New Roman" w:cs="Times New Roman" w:eastAsia="Times New Roman" w:hAnsi="Times New Roman"/>
          <w:sz w:val="28"/>
          <w:szCs w:val="28"/>
        </w:rPr>
        <w:t xml:space="preserve">Пятое направление — исследования бизнес-модели как теоретического и измерительного конструкта (Osterwalder, Pigneur, 2010; Zott, Amit, Massa, 2011; Casadesus-Masanell, Ricart, 2010; Foss, Saebi, 2017; Clauss, 2017) — демонстрирует зрелость понятийного аппарата и отдельные примеры строгой количественной операционализации, однако построенные на опросных, а не вторичных данных, что ограничивает их применимость к панельному анализу.</w:t>
      </w:r>
    </w:p>
    <w:p>
      <w:pPr>
        <w:spacing w:after="160" w:before="0" w:line="360" w:lineRule="auto"/>
        <w:ind w:firstLine="709"/>
        <w:jc w:val="both"/>
      </w:pPr>
      <w:r>
        <w:rPr>
          <w:rFonts w:ascii="Times New Roman" w:cs="Times New Roman" w:eastAsia="Times New Roman" w:hAnsi="Times New Roman"/>
          <w:sz w:val="28"/>
          <w:szCs w:val="28"/>
        </w:rPr>
        <w:t xml:space="preserve">Шестое направление — эконометрические методы оценки внешних шоков (панельная регрессия с фиксированными эффектами, метод разности разностей, событийный анализ, синтетический контроль, пороговая регрессия, модели бинарного выбора) — обеспечивает зрелый технический инструментарий; полный обзор приведён ниже (раздел «Методы исследования») и в первой главе диссертации. Зрелость данного инструментария не устраняет дефицит предшествующих направлений, поскольку методы причинного вывода требуют на входе корректно операционализированных переменных, которые ни одно из содержательных направлений не поставляет в готовом виде.</w:t>
      </w:r>
    </w:p>
    <w:p>
      <w:pPr>
        <w:spacing w:after="160" w:before="0" w:line="360" w:lineRule="auto"/>
        <w:ind w:firstLine="709"/>
        <w:jc w:val="both"/>
      </w:pPr>
      <w:r>
        <w:rPr>
          <w:rFonts w:ascii="Times New Roman" w:cs="Times New Roman" w:eastAsia="Times New Roman" w:hAnsi="Times New Roman"/>
          <w:sz w:val="28"/>
          <w:szCs w:val="28"/>
        </w:rPr>
        <w:t xml:space="preserve">Седьмое направление — исследования российских IT-компаний в условиях санкционного давления (Kuzyk, Simachev, 2023) — представлено ограниченным кругом работ, не использующих панельные данные фирменного уровня, эконометрическую причинную идентификацию и специфический фокус на IT-отрасли.</w:t>
      </w:r>
    </w:p>
    <w:p>
      <w:pPr>
        <w:spacing w:after="120" w:before="240"/>
        <w:jc w:val="left"/>
      </w:pPr>
      <w:r>
        <w:rPr>
          <w:rFonts w:ascii="Times New Roman" w:cs="Times New Roman" w:eastAsia="Times New Roman" w:hAnsi="Times New Roman"/>
          <w:sz w:val="28"/>
          <w:szCs w:val="28"/>
        </w:rPr>
        <w:t xml:space="preserve">Таблица 1 — Основные направления исследований проблемы</w:t>
      </w:r>
    </w:p>
    <w:tbl>
      <w:tblPr>
        <w:tblW w:type="dxa" w:w="9355"/>
        <w:tblBorders>
          <w:top w:val="single" w:color="000000" w:sz="4"/>
          <w:left w:val="single" w:color="000000" w:sz="4"/>
          <w:bottom w:val="single" w:color="000000" w:sz="4"/>
          <w:right w:val="single" w:color="000000" w:sz="4"/>
          <w:insideH w:val="single" w:color="000000" w:sz="2"/>
          <w:insideV w:val="single" w:color="000000" w:sz="2"/>
        </w:tblBorders>
      </w:tblPr>
      <w:tblGrid>
        <w:gridCol w:w="1123"/>
        <w:gridCol w:w="1497"/>
        <w:gridCol w:w="1123"/>
        <w:gridCol w:w="1310"/>
        <w:gridCol w:w="1684"/>
        <w:gridCol w:w="1310"/>
        <w:gridCol w:w="1310"/>
      </w:tblGrid>
      <w:tr>
        <w:trPr>
          <w:tblHeader/>
        </w:trPr>
        <w:tc>
          <w:tcPr>
            <w:tcW w:type="dxa" w:w="1123"/>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Направление</w:t>
            </w:r>
          </w:p>
        </w:tc>
        <w:tc>
          <w:tcPr>
            <w:tcW w:type="dxa" w:w="1497"/>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Ключевые авторы</w:t>
            </w:r>
          </w:p>
        </w:tc>
        <w:tc>
          <w:tcPr>
            <w:tcW w:type="dxa" w:w="1123"/>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Объект</w:t>
            </w:r>
          </w:p>
        </w:tc>
        <w:tc>
          <w:tcPr>
            <w:tcW w:type="dxa" w:w="1310"/>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Основные методы</w:t>
            </w:r>
          </w:p>
        </w:tc>
        <w:tc>
          <w:tcPr>
            <w:tcW w:type="dxa" w:w="1684"/>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Основные результаты</w:t>
            </w:r>
          </w:p>
        </w:tc>
        <w:tc>
          <w:tcPr>
            <w:tcW w:type="dxa" w:w="1310"/>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Ограничения</w:t>
            </w:r>
          </w:p>
        </w:tc>
        <w:tc>
          <w:tcPr>
            <w:tcW w:type="dxa" w:w="1310"/>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Что остаётся нерешённым</w:t>
            </w:r>
          </w:p>
        </w:tc>
      </w:tr>
      <w:tr>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Санкции: макроуровень</w:t>
            </w:r>
          </w:p>
        </w:tc>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Hufbauer et al. (2007); Neuenkirch, Neumeier (2015); Felbermayr et al. (2020)</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Страны — объекты санкций</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Историко-статистический анализ; панельная FE-регрессия</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Санкции снижают темп роста ВВП на 2,3–3,5 п.п. в год</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Единица анализа — страна</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Неоднородность реакции отдельных фирм</w:t>
            </w:r>
          </w:p>
        </w:tc>
      </w:tr>
      <w:tr>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Санкции: фирменный уровень</w:t>
            </w:r>
          </w:p>
        </w:tc>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Ahn, Ludema (2020); Crozet, Hinz (2020); Huynh, Hoang, Ongena (2022); Dobrynina, Grishunin (2025)</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Подсанкционные и российские фирмы</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Панельная регрессия; синтетический контроль; авторские индексы</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Значимый эффект на финансовую результативность</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DV — финансовые показатели</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Операционализация структурной трансформации БМ</w:t>
            </w:r>
          </w:p>
        </w:tc>
      </w:tr>
      <w:tr>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Адаптация к шокам</w:t>
            </w:r>
          </w:p>
        </w:tc>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Kuzyk, Simachev (2023); Kozachenko et al. (2026); Chen, Ermolaeva, Panibratov (2025)</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Российские компании и иностранные фирмы в России</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Кейс-анализ; интервью; описательная систематизация</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Зафиксирована неоднородность стратегий адаптации</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Качественный метод, малые выборки</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Панельная причинная идентификация</w:t>
            </w:r>
          </w:p>
        </w:tc>
      </w:tr>
      <w:tr>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Динамические способности</w:t>
            </w:r>
          </w:p>
        </w:tc>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Teece, Pisano, Shuen (1997); Dejardin et al. (2022); Sahebalzamani et al. (2022)</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Фирмы в динамичной / кризисной среде</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Концептуальный анализ; структурное моделирование</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ДС опосредуют результативность и инновацию БМ в кризис</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Общий кризис, не санкции</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Операционализация применительно к санкционному шоку</w:t>
            </w:r>
          </w:p>
        </w:tc>
      </w:tr>
      <w:tr>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Измерение бизнес-моделей</w:t>
            </w:r>
          </w:p>
        </w:tc>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Osterwalder, Pigneur (2010); Clauss (2017); Foss, Saebi (2017)</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Бизнес-модель как конструкт</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Концептуальная разработка; валидация опросной шкалы</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Разработан теоретический аппарат и измерительные шкалы</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Шкалы опросные</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Адаптация к вторичным панельным данным</w:t>
            </w:r>
          </w:p>
        </w:tc>
      </w:tr>
      <w:tr>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Эконометрика причинного вывода</w:t>
            </w:r>
          </w:p>
        </w:tc>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см. раздел «Методы исследования»</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Причинные эффекты на панельных данных</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FE, DiD, event study, synthetic control, threshold</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Отработанный инструментарий причинной идентификации</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Требует заданной операционализации DV/IV</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Отсутствие адаптации к БМ-трансформации</w:t>
            </w:r>
          </w:p>
        </w:tc>
      </w:tr>
      <w:tr>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Российские IT-компании</w:t>
            </w:r>
          </w:p>
        </w:tc>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Kuzyk, Simachev (2023)</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Российские компании, 2022 г.</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Описательная систематизация</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Систематизированы адаптационные стратегии</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 эконометрическая модель, не IT-специфична</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Причинная оценка на панели IT-фирм</w:t>
            </w:r>
          </w:p>
        </w:tc>
      </w:tr>
    </w:tbl>
    <w:p>
      <w:pPr>
        <w:spacing w:after="240" w:before="80"/>
        <w:jc w:val="left"/>
      </w:pPr>
      <w:r>
        <w:rPr>
          <w:rFonts w:ascii="Times New Roman" w:cs="Times New Roman" w:eastAsia="Times New Roman" w:hAnsi="Times New Roman"/>
          <w:i/>
          <w:iCs/>
          <w:sz w:val="24"/>
          <w:szCs w:val="24"/>
        </w:rPr>
        <w:t xml:space="preserve">Источник: составлено автором.</w:t>
      </w:r>
    </w:p>
    <w:p>
      <w:pPr>
        <w:spacing w:after="160" w:before="0" w:line="360" w:lineRule="auto"/>
        <w:ind w:firstLine="709"/>
        <w:jc w:val="both"/>
      </w:pPr>
      <w:r>
        <w:rPr>
          <w:rFonts w:ascii="Times New Roman" w:cs="Times New Roman" w:eastAsia="Times New Roman" w:hAnsi="Times New Roman"/>
          <w:sz w:val="28"/>
          <w:szCs w:val="28"/>
        </w:rPr>
        <w:t xml:space="preserve">Систематический обзор семи направлений, подкреплённый специальной дополнительной проверкой на предмет существования работ, непосредственно совпадающих по предмету с настоящим исследованием (запросы вида «sanctions exposure index business model transformation», «sanctions + DiD + business model», «Russian IT sanctions econometrics»), не выявил исследований, тождественных по замыслу разрабатываемой методике. Вместе с тем данная проверка выявила несколько опубликованных в 2025–2026 гг. работ, содержательно близких к отдельным аспектам темы, честное признание и разграничение с которыми необходимо для корректной постановки научной проблемы. Исследование Чена, Ермолаевой и Панибратова о динамических способностях китайских компаний в санкционной России (Chen, Ermolaeva, Panibratov, 2025) и исследование Козаченко с соавторами о резильентности семейных и несемейных фирм (Kozachenko, Ryshtein, Bodolica, Shirokova, 2026) подтверждают продуктивность теоретической рамки динамических способностей применительно к российскому санкционному контексту, однако оба построены на интервью и кейс-анализе, не используют панельные данные и не операционализируют трансформацию бизнес-модели количественно. Исследование трансформации бизнес-моделей иранских предпринимателей через логику фругальной инновации, опубликованное в 2026 г. в журнале Asian Business &amp; Management, подтверждает продуктивность самой категории «трансформация бизнес-модели» применительно к санкционному контексту, но выполнено на качественном материале малых предпринимательских фирм Ирана, а не на панели публичных IT-компаний России. Ни одна из выявленных работ не сочетает предсанкционную операционализацию интенсивности экспозиции, составной количественный индекс трансформации бизнес-модели и причинную идентификацию на панельных данных — сочетание, образующее предмет разработки настоящей диссертации.</w:t>
      </w:r>
    </w:p>
    <w:p>
      <w:pPr>
        <w:spacing w:after="120" w:before="240"/>
        <w:jc w:val="left"/>
      </w:pPr>
      <w:r>
        <w:rPr>
          <w:rFonts w:ascii="Times New Roman" w:cs="Times New Roman" w:eastAsia="Times New Roman" w:hAnsi="Times New Roman"/>
          <w:sz w:val="28"/>
          <w:szCs w:val="28"/>
        </w:rPr>
        <w:t xml:space="preserve">Таблица 2 — Выявленные научно-методологические дефициты и направления разработки</w:t>
      </w:r>
    </w:p>
    <w:tbl>
      <w:tblPr>
        <w:tblW w:type="dxa" w:w="9355"/>
        <w:tblBorders>
          <w:top w:val="single" w:color="000000" w:sz="4"/>
          <w:left w:val="single" w:color="000000" w:sz="4"/>
          <w:bottom w:val="single" w:color="000000" w:sz="4"/>
          <w:right w:val="single" w:color="000000" w:sz="4"/>
          <w:insideH w:val="single" w:color="000000" w:sz="2"/>
          <w:insideV w:val="single" w:color="000000" w:sz="2"/>
        </w:tblBorders>
      </w:tblPr>
      <w:tblGrid>
        <w:gridCol w:w="2058"/>
        <w:gridCol w:w="2807"/>
        <w:gridCol w:w="2245"/>
        <w:gridCol w:w="2245"/>
      </w:tblGrid>
      <w:tr>
        <w:trPr>
          <w:tblHeader/>
        </w:trPr>
        <w:tc>
          <w:tcPr>
            <w:tcW w:type="dxa" w:w="2058"/>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Выявленный дефицит</w:t>
            </w:r>
          </w:p>
        </w:tc>
        <w:tc>
          <w:tcPr>
            <w:tcW w:type="dxa" w:w="2807"/>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Почему существующий подход недостаточен</w:t>
            </w:r>
          </w:p>
        </w:tc>
        <w:tc>
          <w:tcPr>
            <w:tcW w:type="dxa" w:w="2245"/>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Требование к разрабатываемой методике</w:t>
            </w:r>
          </w:p>
        </w:tc>
        <w:tc>
          <w:tcPr>
            <w:tcW w:type="dxa" w:w="2245"/>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Предлагаемое решение</w:t>
            </w:r>
          </w:p>
        </w:tc>
      </w:tr>
      <w:tr>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Санкции измеряются как факт, а не интенсивность</w:t>
            </w:r>
          </w:p>
        </w:tc>
        <w:tc>
          <w:tcPr>
            <w:tcW w:type="dxa" w:w="280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 учитывается неоднородность предсанкционной интеграции фирм в западные контуры (направления 1–2)</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Измерять интенсивность потенциального воздействия до наступления шока</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Индекс санкционной экспозиции компании (ИСЭК)</w:t>
            </w:r>
          </w:p>
        </w:tc>
      </w:tr>
      <w:tr>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Трансформация БМ измеряется качественно либо на опросных данных</w:t>
            </w:r>
          </w:p>
        </w:tc>
        <w:tc>
          <w:tcPr>
            <w:tcW w:type="dxa" w:w="280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Невозможно применить к вторичным панельным данным публичной отчётности (направления 3, 5)</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Операционализировать на основе публичной отчётности</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Индекс трансформации бизнес-модели (ИТБМ)</w:t>
            </w:r>
          </w:p>
        </w:tc>
      </w:tr>
      <w:tr>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Причинная идентификация применяется к финансовым, а не структурным показателям</w:t>
            </w:r>
          </w:p>
        </w:tc>
        <w:tc>
          <w:tcPr>
            <w:tcW w:type="dxa" w:w="280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Отработанный инструментарий не перенесён на зависимую переменную структурной трансформации (направления 2, 6)</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Перенести идентификационную стратегию на новую зависимую переменную</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Панельная FE-модель и Difference-in-Differences</w:t>
            </w:r>
          </w:p>
        </w:tc>
      </w:tr>
      <w:tr>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Механизм адаптации не формализован эконометрически</w:t>
            </w:r>
          </w:p>
        </w:tc>
        <w:tc>
          <w:tcPr>
            <w:tcW w:type="dxa" w:w="280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Теория динамических способностей объясняет механизм, но не даёт процедуры измерения (направление 4)</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Формализовать причинную цепочку «экспозиция → реконфигурация → трансформация БМ»</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Идентификационная схема, связывающая ИСЭК и ИТБМ</w:t>
            </w:r>
          </w:p>
        </w:tc>
      </w:tr>
      <w:tr>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Нет анализа российских IT-компаний на панельных данных</w:t>
            </w:r>
          </w:p>
        </w:tc>
        <w:tc>
          <w:tcPr>
            <w:tcW w:type="dxa" w:w="280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Единственная близкая работа описательна и не IT-специфична (направление 7)</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Апробировать методику на панели российских IT-компаний</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Эмпирическая глава на данных 2019–2024 гг.</w:t>
            </w:r>
          </w:p>
        </w:tc>
      </w:tr>
    </w:tbl>
    <w:p>
      <w:pPr>
        <w:spacing w:after="240" w:before="80"/>
        <w:jc w:val="left"/>
      </w:pPr>
      <w:r>
        <w:rPr>
          <w:rFonts w:ascii="Times New Roman" w:cs="Times New Roman" w:eastAsia="Times New Roman" w:hAnsi="Times New Roman"/>
          <w:i/>
          <w:iCs/>
          <w:sz w:val="24"/>
          <w:szCs w:val="24"/>
        </w:rPr>
        <w:t xml:space="preserve">Источник: составлено автором.</w:t>
      </w:r>
    </w:p>
    <w:p>
      <w:pPr>
        <w:spacing w:after="160" w:before="0" w:line="360" w:lineRule="auto"/>
        <w:ind w:firstLine="709"/>
        <w:jc w:val="both"/>
      </w:pPr>
      <w:r>
        <w:rPr>
          <w:rFonts w:ascii="Times New Roman" w:cs="Times New Roman" w:eastAsia="Times New Roman" w:hAnsi="Times New Roman"/>
          <w:b/>
          <w:bCs/>
          <w:sz w:val="28"/>
          <w:szCs w:val="28"/>
        </w:rPr>
        <w:t xml:space="preserve">Решаемая проблема исследования.</w:t>
      </w:r>
      <w:r>
        <w:rPr>
          <w:rFonts w:ascii="Times New Roman" w:cs="Times New Roman" w:eastAsia="Times New Roman" w:hAnsi="Times New Roman"/>
          <w:sz w:val="28"/>
          <w:szCs w:val="28"/>
        </w:rPr>
        <w:t xml:space="preserve"> Совокупность рассмотренных научных направлений указывает не на пробел в частном вопросе, а на системное несоответствие между зрелостью эконометрического инструментария причинного анализа и отсутствием операционализированной зависимой переменной, адекватной задаче измерения структурной трансформации бизнес-модели компании. Существующие подходы к оценке фирменных последствий санкций используют в качестве зависимой переменной агрегированные финансовые показатели, не отражающие структурную конфигурацию бизнес-модели; существующие подходы к операционализации бизнес-модели как измерительного конструкта, в свою очередь, построены на опросных либо кейсовых данных, не адаптированных к панельному анализу вторичной публичной отчётности; существующие описания адаптации российских компаний к санкционному давлению остаются качественными и не переходят к статистически проверяемой причинной оценке. Отработанный инструментарий причинной идентификации — панельные модели с фиксированными эффектами, разность разностей, событийный анализ, пороговая регрессия, синтетический контроль — оказывается, таким образом, не связан ни с одной из существующих операционализаций трансформации бизнес-модели, пригодной для его применения. Разрешение данного несоответствия требует не выбора одного из перечисленных методов измерения или оценки в готовом виде, а разработки целостной методики, интегрирующей предсанкционное измерение интенсивности воздействия, количественную операционализацию трансформации бизнес-модели и причинную идентификацию связи между ними в рамках единой воспроизводимой процедуры. Именно данное методическое несоответствие образует решаемую в настоящем исследовании научную проблему.</w:t>
      </w:r>
    </w:p>
    <w:p>
      <w:pPr>
        <w:spacing w:after="160" w:before="0" w:line="360" w:lineRule="auto"/>
        <w:ind w:firstLine="709"/>
        <w:jc w:val="both"/>
      </w:pPr>
      <w:r>
        <w:rPr>
          <w:rFonts w:ascii="Times New Roman" w:cs="Times New Roman" w:eastAsia="Times New Roman" w:hAnsi="Times New Roman"/>
          <w:b/>
          <w:bCs/>
          <w:sz w:val="28"/>
          <w:szCs w:val="28"/>
        </w:rPr>
        <w:t xml:space="preserve">Цель исследования.</w:t>
      </w:r>
      <w:r>
        <w:rPr>
          <w:rFonts w:ascii="Times New Roman" w:cs="Times New Roman" w:eastAsia="Times New Roman" w:hAnsi="Times New Roman"/>
          <w:sz w:val="28"/>
          <w:szCs w:val="28"/>
        </w:rPr>
        <w:t xml:space="preserve"> Целью исследования является разработка научно обоснованной и воспроизводимой методики эконометрической оценки влияния санкционных шоков на трансформацию бизнес-модели компаний IT-отрасли, обеспечивающей предсанкционную операционализацию интенсивности санкционной экспозиции компании, количественное измерение глубины и направленности трансформации её бизнес-модели, причинную идентификацию связи между ними на панельных данных и проверку устойчивости получаемых результатов к альтернативным спецификациям.</w:t>
      </w:r>
    </w:p>
    <w:p>
      <w:pPr>
        <w:spacing w:after="160" w:before="0" w:line="360" w:lineRule="auto"/>
        <w:ind w:firstLine="709"/>
        <w:jc w:val="both"/>
      </w:pPr>
      <w:r>
        <w:rPr>
          <w:rFonts w:ascii="Times New Roman" w:cs="Times New Roman" w:eastAsia="Times New Roman" w:hAnsi="Times New Roman"/>
          <w:b/>
          <w:bCs/>
          <w:sz w:val="28"/>
          <w:szCs w:val="28"/>
        </w:rPr>
        <w:t xml:space="preserve">Задачи исследования.</w:t>
      </w:r>
      <w:r>
        <w:rPr>
          <w:rFonts w:ascii="Times New Roman" w:cs="Times New Roman" w:eastAsia="Times New Roman" w:hAnsi="Times New Roman"/>
          <w:sz w:val="28"/>
          <w:szCs w:val="28"/>
        </w:rPr>
        <w:t xml:space="preserve"> Достижение поставленной цели предполагает последовательное решение следующих задач: во-первых, исследовать теоретические подходы к пониманию санкционного воздействия на компании на макроэкономическом, отраслевом и фирменном уровнях анализа и установить, в какой мере они пригодны для оценки трансформации бизнес-модели отдельной фирмы; во-вторых, систематизировать теоретические подходы к адаптации компаний к внешним шокам и обосновать выбор теоретической рамки, объясняющей переход от внешнего воздействия к структурному изменению бизнес-модели; в-третьих, критически проанализировать подходы к пониманию и операционализации бизнес-модели как объекта количественного измерения; в-четвёртых, обосновать специфику IT-отрасли как объекта исследования санкционной трансформации бизнес-моделей и специфику российского контекста 2022 года; в-пятых, систематизировать существующий методический инструментарий измерения санкционного воздействия и трансформации бизнес-моделей и выявить его ограничения применительно к поставленной задаче; в-шестых, сформулировать требования, которым должна соответствовать разрабатываемая методика; в-седьмых, разработать индекс санкционной экспозиции компании и индекс трансформации бизнес-модели как инструменты операционализации ключевых конструктов методики; в-восьмых, обосновать и сформировать эконометрическую модель причинной оценки эффекта санкционной экспозиции на трансформацию бизнес-модели, включая процедуру проверки устойчивости результатов; в-девятых, разработать алгоритм практического применения методики; в-десятых, провести апробацию разработанной методики на панельных данных российских IT-компаний. Первые шесть задач решаются в первой главе настоящей работы, седьмая — девятая задачи — во второй главе, десятая задача — в третьей, эмпирической главе диссертации.</w:t>
      </w:r>
    </w:p>
    <w:p>
      <w:pPr>
        <w:spacing w:after="160" w:before="0" w:line="360" w:lineRule="auto"/>
        <w:ind w:firstLine="709"/>
        <w:jc w:val="both"/>
      </w:pPr>
      <w:r>
        <w:rPr>
          <w:rFonts w:ascii="Times New Roman" w:cs="Times New Roman" w:eastAsia="Times New Roman" w:hAnsi="Times New Roman"/>
          <w:b/>
          <w:bCs/>
          <w:sz w:val="28"/>
          <w:szCs w:val="28"/>
        </w:rPr>
        <w:t xml:space="preserve">Объект исследования.</w:t>
      </w:r>
      <w:r>
        <w:rPr>
          <w:rFonts w:ascii="Times New Roman" w:cs="Times New Roman" w:eastAsia="Times New Roman" w:hAnsi="Times New Roman"/>
          <w:sz w:val="28"/>
          <w:szCs w:val="28"/>
        </w:rPr>
        <w:t xml:space="preserve"> Объектом исследования выступают процессы трансформации бизнес-моделей компаний российской IT-отрасли, происходящие под влиянием санкционных ограничений, введённых иностранными государствами и их объединениями в отношении Российской Федерации начиная с 2014 г. и приобретших качественно иной масштаб и характер начиная с 2022 г.</w:t>
      </w:r>
    </w:p>
    <w:p>
      <w:pPr>
        <w:spacing w:after="160" w:before="0" w:line="360" w:lineRule="auto"/>
        <w:ind w:firstLine="709"/>
        <w:jc w:val="both"/>
      </w:pPr>
      <w:r>
        <w:rPr>
          <w:rFonts w:ascii="Times New Roman" w:cs="Times New Roman" w:eastAsia="Times New Roman" w:hAnsi="Times New Roman"/>
          <w:b/>
          <w:bCs/>
          <w:sz w:val="28"/>
          <w:szCs w:val="28"/>
        </w:rPr>
        <w:t xml:space="preserve">Предмет исследования.</w:t>
      </w:r>
      <w:r>
        <w:rPr>
          <w:rFonts w:ascii="Times New Roman" w:cs="Times New Roman" w:eastAsia="Times New Roman" w:hAnsi="Times New Roman"/>
          <w:sz w:val="28"/>
          <w:szCs w:val="28"/>
        </w:rPr>
        <w:t xml:space="preserve"> Предметом исследования является не методика как таковая, а экономическая взаимосвязь, для измерения и причинной оценки которой данная методика разрабатывается: зависимость между интенсивностью санкционной экспозиции отдельной компании и масштабом наблюдаемой трансформации её бизнес-модели, а также совокупность экономико-статистических конструкций, эконометрических моделей и процедур идентификации, посредством которых данная зависимость может быть измерена и статистически проверена. Объект и предмет находятся, таким образом, в отношении явления и его операционализируемого механизма: объект задаёт эмпирическое поле исследования, тогда как предмет — тот аналитический разрез этого поля, для измерения которого разрабатывается методический инструментарий, образующий научный результат диссертации.</w:t>
      </w:r>
    </w:p>
    <w:p>
      <w:pPr>
        <w:spacing w:after="160" w:before="0" w:line="360" w:lineRule="auto"/>
        <w:ind w:firstLine="709"/>
        <w:jc w:val="both"/>
      </w:pPr>
      <w:r>
        <w:rPr>
          <w:rFonts w:ascii="Times New Roman" w:cs="Times New Roman" w:eastAsia="Times New Roman" w:hAnsi="Times New Roman"/>
          <w:b/>
          <w:bCs/>
          <w:sz w:val="28"/>
          <w:szCs w:val="28"/>
        </w:rPr>
        <w:t xml:space="preserve">Методы исследования.</w:t>
      </w:r>
      <w:r>
        <w:rPr>
          <w:rFonts w:ascii="Times New Roman" w:cs="Times New Roman" w:eastAsia="Times New Roman" w:hAnsi="Times New Roman"/>
          <w:sz w:val="28"/>
          <w:szCs w:val="28"/>
        </w:rPr>
        <w:t xml:space="preserve"> Для решения поставленных задач используется система методов, различающихся по функциональному статусу в общей архитектуре разрабатываемой методики. Основную группу образуют методы причинного эконометрического анализа панельных данных: регрессия с фиксированными эффектами, используемая в качестве базовой спецификации связи между санкционной экспозицией и трансформацией бизнес-модели; метод разности разностей в непрерывном и бинарном вариантах, обеспечивающий причинную идентификацию эффекта относительно контрольной группы; событийный анализ, применяемый для проверки предпосылки параллельных трендов и оценки динамики эффекта во времени; пороговая регрессия, используемая для проверки гипотезы о нелинейном, пороговом характере зависимости; метод синтетического разности-разностей, применяемый для проверки устойчивости базовых оценок к альтернативной идентификационной стратегии. Вспомогательную, диагностическую группу образуют методы, обеспечивающие построение переменных и проверку предпосылок основных моделей: метод главных компонент, используемый для свёртки первичных индикаторов в композитные индексы; контент-анализ публичной отчётности, используемый для классификации наблюдаемых изменений по структурным блокам бизнес-модели; стандартные диагностические тесты панельных данных — тест Хаусмана, тесты на мультиколлинеарность, стационарность и автокорреляцию, кластеризованные стандартные ошибки; логит- и пробит-модели, используемые в качестве робастность-проверки при альтернативной, бинарной операционализации трансформации бизнес-модели. Подробное обоснование выбора каждого метода и его применимости к задачам настоящего исследования составляет самостоятельный раздел второй главы диссертации; ниже (табл. 3) приведён сводный обзор рассмотренных методов и их статуса в разрабатываемой методике.</w:t>
      </w:r>
    </w:p>
    <w:p>
      <w:pPr>
        <w:spacing w:after="120" w:before="240"/>
        <w:jc w:val="left"/>
      </w:pPr>
      <w:r>
        <w:rPr>
          <w:rFonts w:ascii="Times New Roman" w:cs="Times New Roman" w:eastAsia="Times New Roman" w:hAnsi="Times New Roman"/>
          <w:sz w:val="28"/>
          <w:szCs w:val="28"/>
        </w:rPr>
        <w:t xml:space="preserve">Таблица 3 — Методы исследования и их статус в разрабатываемой методике</w:t>
      </w:r>
    </w:p>
    <w:tbl>
      <w:tblPr>
        <w:tblW w:type="dxa" w:w="9355"/>
        <w:tblBorders>
          <w:top w:val="single" w:color="000000" w:sz="4"/>
          <w:left w:val="single" w:color="000000" w:sz="4"/>
          <w:bottom w:val="single" w:color="000000" w:sz="4"/>
          <w:right w:val="single" w:color="000000" w:sz="4"/>
          <w:insideH w:val="single" w:color="000000" w:sz="2"/>
          <w:insideV w:val="single" w:color="000000" w:sz="2"/>
        </w:tblBorders>
      </w:tblPr>
      <w:tblGrid>
        <w:gridCol w:w="1497"/>
        <w:gridCol w:w="2619"/>
        <w:gridCol w:w="2994"/>
        <w:gridCol w:w="2245"/>
      </w:tblGrid>
      <w:tr>
        <w:trPr>
          <w:tblHeader/>
        </w:trPr>
        <w:tc>
          <w:tcPr>
            <w:tcW w:type="dxa" w:w="1497"/>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Метод</w:t>
            </w:r>
          </w:p>
        </w:tc>
        <w:tc>
          <w:tcPr>
            <w:tcW w:type="dxa" w:w="2619"/>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Назначение в существующей практике применения</w:t>
            </w:r>
          </w:p>
        </w:tc>
        <w:tc>
          <w:tcPr>
            <w:tcW w:type="dxa" w:w="2994"/>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Задача в настоящем исследовании</w:t>
            </w:r>
          </w:p>
        </w:tc>
        <w:tc>
          <w:tcPr>
            <w:tcW w:type="dxa" w:w="2245"/>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Статус</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Панельная регрессия с фиксированными эффектами</w:t>
            </w:r>
          </w:p>
        </w:tc>
        <w:tc>
          <w:tcPr>
            <w:tcW w:type="dxa" w:w="2619"/>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Контроль ненаблюдаемой фирменной и временной гетерогенности</w:t>
            </w:r>
          </w:p>
        </w:tc>
        <w:tc>
          <w:tcPr>
            <w:tcW w:type="dxa" w:w="299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Базовая спецификация связи между ИСЭК и ИТБМ</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Основной</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Разность разностей (continuous и binary DiD)</w:t>
            </w:r>
          </w:p>
        </w:tc>
        <w:tc>
          <w:tcPr>
            <w:tcW w:type="dxa" w:w="2619"/>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Причинная оценка эффекта вмешательства относительно контрольной группы</w:t>
            </w:r>
          </w:p>
        </w:tc>
        <w:tc>
          <w:tcPr>
            <w:tcW w:type="dxa" w:w="299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Причинная идентификация эффекта санкционной экспозиции на трансформацию БМ</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Основной</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Событийный анализ (event study)</w:t>
            </w:r>
          </w:p>
        </w:tc>
        <w:tc>
          <w:tcPr>
            <w:tcW w:type="dxa" w:w="2619"/>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Проверка параллельных трендов; динамика эффекта во времени</w:t>
            </w:r>
          </w:p>
        </w:tc>
        <w:tc>
          <w:tcPr>
            <w:tcW w:type="dxa" w:w="299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Проверка предпосылки идентификации и оценка временнóй траектории трансформации</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Основной</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Пороговая регрессия (Hansen threshold)</w:t>
            </w:r>
          </w:p>
        </w:tc>
        <w:tc>
          <w:tcPr>
            <w:tcW w:type="dxa" w:w="2619"/>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Выявление нелинейных режимов зависимости</w:t>
            </w:r>
          </w:p>
        </w:tc>
        <w:tc>
          <w:tcPr>
            <w:tcW w:type="dxa" w:w="299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Проверка гипотезы о пороговом характере влияния экспозиции</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Основной</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Синтетический DiD (Arkhangelsky et al.)</w:t>
            </w:r>
          </w:p>
        </w:tc>
        <w:tc>
          <w:tcPr>
            <w:tcW w:type="dxa" w:w="2619"/>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Робастная причинная оценка при малом числе контрольных единиц</w:t>
            </w:r>
          </w:p>
        </w:tc>
        <w:tc>
          <w:tcPr>
            <w:tcW w:type="dxa" w:w="299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Проверка устойчивости базовых оценок к альтернативной идентификации</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Диагностический</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Метод главных компонент</w:t>
            </w:r>
          </w:p>
        </w:tc>
        <w:tc>
          <w:tcPr>
            <w:tcW w:type="dxa" w:w="2619"/>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Свёртка коррелированных индикаторов в композитный индекс</w:t>
            </w:r>
          </w:p>
        </w:tc>
        <w:tc>
          <w:tcPr>
            <w:tcW w:type="dxa" w:w="299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Построение индексов ИСЭК и ИТБМ</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Вспомогательный</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Логит/пробит-модели</w:t>
            </w:r>
          </w:p>
        </w:tc>
        <w:tc>
          <w:tcPr>
            <w:tcW w:type="dxa" w:w="2619"/>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Оценка вероятности дискретного исхода</w:t>
            </w:r>
          </w:p>
        </w:tc>
        <w:tc>
          <w:tcPr>
            <w:tcW w:type="dxa" w:w="299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Робастность при бинарной операционализации ИТБМ</w:t>
            </w:r>
          </w:p>
        </w:tc>
        <w:tc>
          <w:tcPr>
            <w:tcW w:type="dxa" w:w="224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Диагностический</w:t>
            </w:r>
          </w:p>
        </w:tc>
      </w:tr>
    </w:tbl>
    <w:p>
      <w:pPr>
        <w:spacing w:after="240" w:before="80"/>
        <w:jc w:val="left"/>
      </w:pPr>
      <w:r>
        <w:rPr>
          <w:rFonts w:ascii="Times New Roman" w:cs="Times New Roman" w:eastAsia="Times New Roman" w:hAnsi="Times New Roman"/>
          <w:i/>
          <w:iCs/>
          <w:sz w:val="24"/>
          <w:szCs w:val="24"/>
        </w:rPr>
        <w:t xml:space="preserve">Источник: составлено автором.</w:t>
      </w:r>
    </w:p>
    <w:p>
      <w:pPr>
        <w:spacing w:after="160" w:before="0" w:line="360" w:lineRule="auto"/>
        <w:ind w:firstLine="709"/>
        <w:jc w:val="both"/>
      </w:pPr>
      <w:r>
        <w:rPr>
          <w:rFonts w:ascii="Times New Roman" w:cs="Times New Roman" w:eastAsia="Times New Roman" w:hAnsi="Times New Roman"/>
          <w:b/>
          <w:bCs/>
          <w:sz w:val="28"/>
          <w:szCs w:val="28"/>
        </w:rPr>
        <w:t xml:space="preserve">Теоретическая и методологическая основа исследования.</w:t>
      </w:r>
      <w:r>
        <w:rPr>
          <w:rFonts w:ascii="Times New Roman" w:cs="Times New Roman" w:eastAsia="Times New Roman" w:hAnsi="Times New Roman"/>
          <w:sz w:val="28"/>
          <w:szCs w:val="28"/>
        </w:rPr>
        <w:t xml:space="preserve"> Теоретическую основу исследования образуют три группы концепций. Первую составляет теория экономических санкций, рассматривающая санкционный режим как форму целенаправленного внешнего воздействия на экономику страны-объекта и её отдельных агентов (Hufbauer, Schott, Elliott, Oegg, 2007; Felbermayr, Kirilakha, Syropoulos, Yalcin, Yotov, 2020). Вторую составляет теория динамических способностей, объясняющая механизм, посредством которого фирма преобразует своё ресурсное и структурное устройство в ответ на изменение внешней среды через последовательность sensing, seizing и transforming (Teece, Pisano, Shuen, 1997; Teece, 2007), — данная теория используется в настоящем исследовании в качестве содержательной интерпретационной рамки, объясняющей направление причинной связи между санкционной экспозицией и трансформацией бизнес-модели, но не заменяющей эмпирическую операционализацию последней. Третью составляет теория бизнес-модели как структурированного, декомпозируемого на элементы конструкта (Osterwalder, Pigneur, 2010; Zott, Amit, Massa, 2011), обеспечивающая концептуальную основу для построения индекса трансформации бизнес-модели.</w:t>
      </w:r>
    </w:p>
    <w:p>
      <w:pPr>
        <w:spacing w:after="160" w:before="0" w:line="360" w:lineRule="auto"/>
        <w:ind w:firstLine="709"/>
        <w:jc w:val="both"/>
      </w:pPr>
      <w:r>
        <w:rPr>
          <w:rFonts w:ascii="Times New Roman" w:cs="Times New Roman" w:eastAsia="Times New Roman" w:hAnsi="Times New Roman"/>
          <w:sz w:val="28"/>
          <w:szCs w:val="28"/>
        </w:rPr>
        <w:t xml:space="preserve">Методологическую основу исследования составляет аппарат современной эконометрики панельных данных и причинного вывода: общая теория анализа панельных данных (Wooldridge, 2010), методология причинной идентификации на наблюдательных данных (Angrist, Pischke, 2009), метод разности разностей и его современные модификации, учитывающие непрерывный характер воздействия и гетерогенность эффекта во времени (Callaway, Goodman-Bacon, Sant'Anna, 2024; Roth, Sant'Anna, Bilinski, Poe, 2023), метод пороговой регрессии для панельных данных (Hansen, 1999) и метод синтетического разности-разностей (Arkhangelsky, Athey, Hirshberg, Imbens, Wager, 2021).</w:t>
      </w:r>
    </w:p>
    <w:p>
      <w:pPr>
        <w:spacing w:after="160" w:before="0" w:line="360" w:lineRule="auto"/>
        <w:ind w:firstLine="709"/>
        <w:jc w:val="both"/>
      </w:pPr>
      <w:r>
        <w:rPr>
          <w:rFonts w:ascii="Times New Roman" w:cs="Times New Roman" w:eastAsia="Times New Roman" w:hAnsi="Times New Roman"/>
          <w:b/>
          <w:bCs/>
          <w:sz w:val="28"/>
          <w:szCs w:val="28"/>
        </w:rPr>
        <w:t xml:space="preserve">Информационная база исследования.</w:t>
      </w:r>
      <w:r>
        <w:rPr>
          <w:rFonts w:ascii="Times New Roman" w:cs="Times New Roman" w:eastAsia="Times New Roman" w:hAnsi="Times New Roman"/>
          <w:sz w:val="28"/>
          <w:szCs w:val="28"/>
        </w:rPr>
        <w:t xml:space="preserve"> Информационную базу исследования образуют несколько групп источников. Первую группу составляют документы, определяющие санкционные режимы в отношении Российской Федерации, — решения и нормативные акты Европейского союза, США, Великобритании и иных юрисдикций, систематизированные в агрегированных базах данных санкционных ограничений (Castellum.AI, 2026; Global Sanctions Data Base — Felbermayr, Kirilakha, Syropoulos, Yalcin, Yotov, 2020; Yalcin, Felbermayr, Kariem, Kirilakha, Kwon, Syropoulos, Yotov, 2025), используемые для построения индекса санкционной экспозиции компании. Вторую группу составляет публичная финансовая и нефинансовая отчётность российских IT-компаний — годовые отчёты, отчётность по РСБУ и МСФО, раскрываемая информация о структуре выручки, партнёрствах и продуктовом портфеле, — используемая для построения индекса трансформации бизнес-модели и контрольных переменных. Третью группу составляют специализированные корпоративные базы данных, обеспечивающие панельную структуру наблюдений на уровне отдельных компаний. Четвёртую группу составляют научные публикации, обзор которых представлен в настоящем введении и в первой главе диссертации. Конкретный состав выборки, период наблюдения и источники данных по каждой переменной определяются и обосновываются во второй и третьей главах диссертации по мере перехода от разработки методики к её эмпирической апробации.</w:t>
      </w:r>
    </w:p>
    <w:p>
      <w:pPr>
        <w:spacing w:after="160" w:before="0" w:line="360" w:lineRule="auto"/>
        <w:ind w:firstLine="709"/>
        <w:jc w:val="both"/>
      </w:pPr>
      <w:r>
        <w:rPr>
          <w:rFonts w:ascii="Times New Roman" w:cs="Times New Roman" w:eastAsia="Times New Roman" w:hAnsi="Times New Roman"/>
          <w:b/>
          <w:bCs/>
          <w:sz w:val="28"/>
          <w:szCs w:val="28"/>
        </w:rPr>
        <w:t xml:space="preserve">Научная новизна исследования.</w:t>
      </w:r>
      <w:r>
        <w:rPr>
          <w:rFonts w:ascii="Times New Roman" w:cs="Times New Roman" w:eastAsia="Times New Roman" w:hAnsi="Times New Roman"/>
          <w:sz w:val="28"/>
          <w:szCs w:val="28"/>
        </w:rPr>
        <w:t xml:space="preserve"> Научная новизна исследования состоит в следующем.</w:t>
      </w:r>
    </w:p>
    <w:p>
      <w:pPr>
        <w:spacing w:after="160" w:before="0" w:line="360" w:lineRule="auto"/>
        <w:ind w:firstLine="709"/>
        <w:jc w:val="both"/>
      </w:pPr>
      <w:r>
        <w:rPr>
          <w:rFonts w:ascii="Times New Roman" w:cs="Times New Roman" w:eastAsia="Times New Roman" w:hAnsi="Times New Roman"/>
          <w:sz w:val="28"/>
          <w:szCs w:val="28"/>
        </w:rPr>
        <w:t xml:space="preserve">Во-первых, разработан индекс санкционной экспозиции компании (ИСЭК) — предсанкционный, экзогенный по отношению к последующей трансформации бизнес-модели композитный показатель интенсивности потенциального санкционного воздействия, в отличие от применяемых в существующих исследованиях бинарных индикаторов включения фирмы в санкционные списки либо индексов, фиксируемых постфактум.</w:t>
      </w:r>
    </w:p>
    <w:p>
      <w:pPr>
        <w:spacing w:after="160" w:before="0" w:line="360" w:lineRule="auto"/>
        <w:ind w:firstLine="709"/>
        <w:jc w:val="both"/>
      </w:pPr>
      <w:r>
        <w:rPr>
          <w:rFonts w:ascii="Times New Roman" w:cs="Times New Roman" w:eastAsia="Times New Roman" w:hAnsi="Times New Roman"/>
          <w:sz w:val="28"/>
          <w:szCs w:val="28"/>
        </w:rPr>
        <w:t xml:space="preserve">Во-вторых, разработан индекс трансформации бизнес-модели (ИТБМ) — составной показатель, операционализирующий структурную трансформацию по девяти блокам бизнес-модели на основе вторичной публичной отчётности, в отличие от применяемых в существующих исследованиях агрегированных финансовых прокси-показателей и опросных шкал, не адаптированных к панельному анализу вторичных данных.</w:t>
      </w:r>
    </w:p>
    <w:p>
      <w:pPr>
        <w:spacing w:after="160" w:before="0" w:line="360" w:lineRule="auto"/>
        <w:ind w:firstLine="709"/>
        <w:jc w:val="both"/>
      </w:pPr>
      <w:r>
        <w:rPr>
          <w:rFonts w:ascii="Times New Roman" w:cs="Times New Roman" w:eastAsia="Times New Roman" w:hAnsi="Times New Roman"/>
          <w:sz w:val="28"/>
          <w:szCs w:val="28"/>
        </w:rPr>
        <w:t xml:space="preserve">В-третьих, предложена идентификационная схема, связывающая ИСЭК и ИТБМ в рамках последовательности методов причинного вывода — панельной FE-модели, разности разностей, событийного анализа, пороговой регрессии и синтетического разности-разностей, — что обеспечивает перенос отработанного эконометрического инструментария причинной идентификации на новую, ранее не операционализированную зависимую переменную.</w:t>
      </w:r>
    </w:p>
    <w:p>
      <w:pPr>
        <w:spacing w:after="160" w:before="0" w:line="360" w:lineRule="auto"/>
        <w:ind w:firstLine="709"/>
        <w:jc w:val="both"/>
      </w:pPr>
      <w:r>
        <w:rPr>
          <w:rFonts w:ascii="Times New Roman" w:cs="Times New Roman" w:eastAsia="Times New Roman" w:hAnsi="Times New Roman"/>
          <w:sz w:val="28"/>
          <w:szCs w:val="28"/>
        </w:rPr>
        <w:t xml:space="preserve">В-четвёртых, разработана интегрированная в единую методику многоуровневая система проверки устойчивости результатов — робастность-тесты, плацебо-тесты, альтернативные спецификации, — применяемая не фрагментарно, как в рассмотренной литературе, а как неотъемлемый элемент методики.</w:t>
      </w:r>
    </w:p>
    <w:p>
      <w:pPr>
        <w:spacing w:after="160" w:before="0" w:line="360" w:lineRule="auto"/>
        <w:ind w:firstLine="709"/>
        <w:jc w:val="both"/>
      </w:pPr>
      <w:r>
        <w:rPr>
          <w:rFonts w:ascii="Times New Roman" w:cs="Times New Roman" w:eastAsia="Times New Roman" w:hAnsi="Times New Roman"/>
          <w:sz w:val="28"/>
          <w:szCs w:val="28"/>
        </w:rPr>
        <w:t xml:space="preserve">В-пятых, разработан и апробирован на панельных данных российских IT-компаний алгоритм практического применения методики, обеспечивающий её воспроизводимость для последующих исследований адаптации компаний к внешним шокам за пределами санкционного контекста.</w:t>
      </w:r>
    </w:p>
    <w:p>
      <w:pPr>
        <w:spacing w:after="160" w:before="0" w:line="360" w:lineRule="auto"/>
        <w:ind w:firstLine="709"/>
        <w:jc w:val="both"/>
      </w:pPr>
      <w:r>
        <w:rPr>
          <w:rFonts w:ascii="Times New Roman" w:cs="Times New Roman" w:eastAsia="Times New Roman" w:hAnsi="Times New Roman"/>
          <w:sz w:val="28"/>
          <w:szCs w:val="28"/>
        </w:rPr>
        <w:t xml:space="preserve">При этом составляющие методику отдельные эконометрические методы — панельная регрессия с фиксированными эффектами, метод разности разностей, пороговая регрессия, метод синтетического разности-разностей — не являются авторской разработкой и применяются в их устоявшемся, общепринятом в эконометрической литературе виде. Научная новизна исследования состоит не в изобретении новых статистических методов, а в разработке конструктов ИСЭК и ИТБМ, идентификационной схемы, связывающей их в рамках единой причинной модели, и интегрированной системы проверки устойчивости результатов, то есть в методической интеграции существующего инструментария применительно к новой исследовательской задаче, ранее не получившей подобного решения в рассмотренной литературе.</w:t>
      </w:r>
    </w:p>
    <w:p>
      <w:pPr>
        <w:spacing w:after="160" w:before="0" w:line="360" w:lineRule="auto"/>
        <w:ind w:firstLine="709"/>
        <w:jc w:val="both"/>
      </w:pPr>
      <w:r>
        <w:rPr>
          <w:rFonts w:ascii="Times New Roman" w:cs="Times New Roman" w:eastAsia="Times New Roman" w:hAnsi="Times New Roman"/>
          <w:b/>
          <w:bCs/>
          <w:sz w:val="28"/>
          <w:szCs w:val="28"/>
        </w:rPr>
        <w:t xml:space="preserve">Практическая значимость исследования.</w:t>
      </w:r>
      <w:r>
        <w:rPr>
          <w:rFonts w:ascii="Times New Roman" w:cs="Times New Roman" w:eastAsia="Times New Roman" w:hAnsi="Times New Roman"/>
          <w:sz w:val="28"/>
          <w:szCs w:val="28"/>
        </w:rPr>
        <w:t xml:space="preserve"> Практическая значимость исследования определяется применимостью разрабатываемой методики к решению нескольких классов прикладных задач. Для менеджмента IT-компаний методика создаёт инструмент диагностики собственной позиции по индексу трансформации бизнес-модели относительно отраслевых аналогов и обоснования решений о дальнейшей адаптации бизнес-модели к изменившимся внешним условиям. Для органов государственного управления, ответственных за политику импортозамещения и поддержки IT-отрасли, методика создаёт инструмент количественной оценки того, в какой мере наблюдаемая трансформация бизнес-моделей компаний связана непосредственно с санкционным давлением, а в какой — с иными факторами, включая меры государственной поддержки, что существенно для оценки результативности данных мер. Для дальнейших академических исследований разработанная методика образует воспроизводимую основу, применимую — при условии соответствующей адаптации операционализации конструктов — к анализу адаптации компаний иных отраслей к иным типам внешних шоков. Материалы диссертации также могут использоваться в преподавании учебных дисциплин, связанных с экономикой санкций, эконометрикой панельных данных и стратегическим управлением.</w:t>
      </w:r>
    </w:p>
    <w:p>
      <w:pPr>
        <w:pStyle w:val="Heading2"/>
        <w:spacing w:after="200" w:before="360" w:line="360" w:lineRule="auto"/>
        <w:jc w:val="left"/>
      </w:pPr>
      <w:r>
        <w:rPr>
          <w:rFonts w:ascii="Times New Roman" w:cs="Times New Roman" w:eastAsia="Times New Roman" w:hAnsi="Times New Roman"/>
          <w:b/>
          <w:bCs/>
          <w:sz w:val="28"/>
          <w:szCs w:val="28"/>
        </w:rPr>
        <w:t xml:space="preserve">Список использованных источников</w:t>
      </w:r>
    </w:p>
    <w:p>
      <w:pPr>
        <w:spacing w:after="140" w:line="276" w:lineRule="auto"/>
        <w:ind w:left="480" w:hanging="480"/>
        <w:jc w:val="both"/>
      </w:pPr>
      <w:r>
        <w:rPr>
          <w:rFonts w:ascii="Times New Roman" w:cs="Times New Roman" w:eastAsia="Times New Roman" w:hAnsi="Times New Roman"/>
          <w:sz w:val="24"/>
          <w:szCs w:val="24"/>
        </w:rPr>
        <w:t xml:space="preserve">Ahn D. P., Ludema R. D. The sword and the shield: the economics of targeted sanctions // European Economic Review. 2020. Vol. 130. Art. 103587. DOI: 10.1016/j.euroecorev.2020.103587.</w:t>
      </w:r>
    </w:p>
    <w:p>
      <w:pPr>
        <w:spacing w:after="140" w:line="276" w:lineRule="auto"/>
        <w:ind w:left="480" w:hanging="480"/>
        <w:jc w:val="both"/>
      </w:pPr>
      <w:r>
        <w:rPr>
          <w:rFonts w:ascii="Times New Roman" w:cs="Times New Roman" w:eastAsia="Times New Roman" w:hAnsi="Times New Roman"/>
          <w:sz w:val="24"/>
          <w:szCs w:val="24"/>
        </w:rPr>
        <w:t xml:space="preserve">Angrist J. D., Pischke J.-S. Mostly Harmless Econometrics: An Empiricist's Companion. Princeton, NJ: Princeton University Press, 2009. DOI: 10.1515/9781400829828.</w:t>
      </w:r>
    </w:p>
    <w:p>
      <w:pPr>
        <w:spacing w:after="140" w:line="276" w:lineRule="auto"/>
        <w:ind w:left="480" w:hanging="480"/>
        <w:jc w:val="both"/>
      </w:pPr>
      <w:r>
        <w:rPr>
          <w:rFonts w:ascii="Times New Roman" w:cs="Times New Roman" w:eastAsia="Times New Roman" w:hAnsi="Times New Roman"/>
          <w:sz w:val="24"/>
          <w:szCs w:val="24"/>
        </w:rPr>
        <w:t xml:space="preserve">Arkhangelsky D., Athey S., Hirshberg D. A., Imbens G. W., Wager S. Synthetic difference-in-differences // American Economic Review. 2021. Vol. 111. No. 12. P. 4088–4118. DOI: 10.1257/aer.20190159.</w:t>
      </w:r>
    </w:p>
    <w:p>
      <w:pPr>
        <w:spacing w:after="140" w:line="276" w:lineRule="auto"/>
        <w:ind w:left="480" w:hanging="480"/>
        <w:jc w:val="both"/>
      </w:pPr>
      <w:r>
        <w:rPr>
          <w:rFonts w:ascii="Times New Roman" w:cs="Times New Roman" w:eastAsia="Times New Roman" w:hAnsi="Times New Roman"/>
          <w:sz w:val="24"/>
          <w:szCs w:val="24"/>
        </w:rPr>
        <w:t xml:space="preserve">Besedeš T., Goldbach S., Nitsch V. Cheap talk? Financial sanctions and non-financial firms // European Economic Review. 2021. Vol. 134. Art. 103688. DOI: 10.1016/j.euroecorev.2021.103688.</w:t>
      </w:r>
    </w:p>
    <w:p>
      <w:pPr>
        <w:spacing w:after="140" w:line="276" w:lineRule="auto"/>
        <w:ind w:left="480" w:hanging="480"/>
        <w:jc w:val="both"/>
      </w:pPr>
      <w:r>
        <w:rPr>
          <w:rFonts w:ascii="Times New Roman" w:cs="Times New Roman" w:eastAsia="Times New Roman" w:hAnsi="Times New Roman"/>
          <w:sz w:val="24"/>
          <w:szCs w:val="24"/>
        </w:rPr>
        <w:t xml:space="preserve">Business model transformation for frugal innovation during market disruption // Asian Business &amp; Management. 2026. DOI: 10.1057/s41291-026-00327-x.</w:t>
      </w:r>
    </w:p>
    <w:p>
      <w:pPr>
        <w:spacing w:after="140" w:line="276" w:lineRule="auto"/>
        <w:ind w:left="480" w:hanging="480"/>
        <w:jc w:val="both"/>
      </w:pPr>
      <w:r>
        <w:rPr>
          <w:rFonts w:ascii="Times New Roman" w:cs="Times New Roman" w:eastAsia="Times New Roman" w:hAnsi="Times New Roman"/>
          <w:sz w:val="24"/>
          <w:szCs w:val="24"/>
        </w:rPr>
        <w:t xml:space="preserve">Callaway B., Goodman-Bacon A., Sant'Anna P. H. C. Difference-in-Differences with a Continuous Treatment. NBER Working Paper No. 32117. Cambridge, MA: National Bureau of Economic Research, 2024.</w:t>
      </w:r>
    </w:p>
    <w:p>
      <w:pPr>
        <w:spacing w:after="140" w:line="276" w:lineRule="auto"/>
        <w:ind w:left="480" w:hanging="480"/>
        <w:jc w:val="both"/>
      </w:pPr>
      <w:r>
        <w:rPr>
          <w:rFonts w:ascii="Times New Roman" w:cs="Times New Roman" w:eastAsia="Times New Roman" w:hAnsi="Times New Roman"/>
          <w:sz w:val="24"/>
          <w:szCs w:val="24"/>
        </w:rPr>
        <w:t xml:space="preserve">Casadesus-Masanell R., Ricart J. E. From strategy to business models and onto tactics // Long Range Planning. 2010. Vol. 43. No. 2–3. P. 195–215. DOI: 10.1016/j.lrp.2010.01.004.</w:t>
      </w:r>
    </w:p>
    <w:p>
      <w:pPr>
        <w:spacing w:after="140" w:line="276" w:lineRule="auto"/>
        <w:ind w:left="480" w:hanging="480"/>
        <w:jc w:val="both"/>
      </w:pPr>
      <w:r>
        <w:rPr>
          <w:rFonts w:ascii="Times New Roman" w:cs="Times New Roman" w:eastAsia="Times New Roman" w:hAnsi="Times New Roman"/>
          <w:sz w:val="24"/>
          <w:szCs w:val="24"/>
        </w:rPr>
        <w:t xml:space="preserve">Castellum.AI. Consolidated Russia Sanctions Data Dashboard [Электронный ресурс]. URL: https://www.castellum.ai/russia-sanctions-dashboard (дата обращения: 04.09.2026).</w:t>
      </w:r>
    </w:p>
    <w:p>
      <w:pPr>
        <w:spacing w:after="140" w:line="276" w:lineRule="auto"/>
        <w:ind w:left="480" w:hanging="480"/>
        <w:jc w:val="both"/>
      </w:pPr>
      <w:r>
        <w:rPr>
          <w:rFonts w:ascii="Times New Roman" w:cs="Times New Roman" w:eastAsia="Times New Roman" w:hAnsi="Times New Roman"/>
          <w:sz w:val="24"/>
          <w:szCs w:val="24"/>
        </w:rPr>
        <w:t xml:space="preserve">Chen S., Ermolaeva L., Panibratov A. Dynamic capabilities of Chinese SMEs in Russia under sanctions // Asian Business &amp; Management. 2025. Vol. 24. No. 3. P. 460–495. DOI: 10.1057/s41291-025-00300-0.</w:t>
      </w:r>
    </w:p>
    <w:p>
      <w:pPr>
        <w:spacing w:after="140" w:line="276" w:lineRule="auto"/>
        <w:ind w:left="480" w:hanging="480"/>
        <w:jc w:val="both"/>
      </w:pPr>
      <w:r>
        <w:rPr>
          <w:rFonts w:ascii="Times New Roman" w:cs="Times New Roman" w:eastAsia="Times New Roman" w:hAnsi="Times New Roman"/>
          <w:sz w:val="24"/>
          <w:szCs w:val="24"/>
        </w:rPr>
        <w:t xml:space="preserve">Clauss T. Measuring business model innovation: conceptualization, scale development, and proof of performance // R&amp;D Management. 2017. Vol. 47. No. 3. P. 385–403. DOI: 10.1111/radm.12186.</w:t>
      </w:r>
    </w:p>
    <w:p>
      <w:pPr>
        <w:spacing w:after="140" w:line="276" w:lineRule="auto"/>
        <w:ind w:left="480" w:hanging="480"/>
        <w:jc w:val="both"/>
      </w:pPr>
      <w:r>
        <w:rPr>
          <w:rFonts w:ascii="Times New Roman" w:cs="Times New Roman" w:eastAsia="Times New Roman" w:hAnsi="Times New Roman"/>
          <w:sz w:val="24"/>
          <w:szCs w:val="24"/>
        </w:rPr>
        <w:t xml:space="preserve">Crozet M., Hinz J. Friendly fire: the trade impact of the Russia sanctions and counter-sanctions // Economic Policy. 2020. Vol. 35. No. 101. P. 97–146. DOI: 10.1093/epolic/eiaa006.</w:t>
      </w:r>
    </w:p>
    <w:p>
      <w:pPr>
        <w:spacing w:after="140" w:line="276" w:lineRule="auto"/>
        <w:ind w:left="480" w:hanging="480"/>
        <w:jc w:val="both"/>
      </w:pPr>
      <w:r>
        <w:rPr>
          <w:rFonts w:ascii="Times New Roman" w:cs="Times New Roman" w:eastAsia="Times New Roman" w:hAnsi="Times New Roman"/>
          <w:sz w:val="24"/>
          <w:szCs w:val="24"/>
        </w:rPr>
        <w:t xml:space="preserve">Dejardin M., Raposo M. L., Ferreira J. J. M., Fernandes C. I., Veiga P. M., Farinha L. The impact of dynamic capabilities on SME performance during COVID-19 // Review of Managerial Science. 2022. Vol. 17. No. 5. P. 1703–1729. DOI: 10.1007/s11846-022-00569-x.</w:t>
      </w:r>
    </w:p>
    <w:p>
      <w:pPr>
        <w:spacing w:after="140" w:line="276" w:lineRule="auto"/>
        <w:ind w:left="480" w:hanging="480"/>
        <w:jc w:val="both"/>
      </w:pPr>
      <w:r>
        <w:rPr>
          <w:rFonts w:ascii="Times New Roman" w:cs="Times New Roman" w:eastAsia="Times New Roman" w:hAnsi="Times New Roman"/>
          <w:sz w:val="24"/>
          <w:szCs w:val="24"/>
        </w:rPr>
        <w:t xml:space="preserve">Dobrynina P., Grishunin S. The impact of sanctions on the financial performance and creditworthiness of Russian non-financial companies // Procedia Computer Science. 2025. Vol. 266.</w:t>
      </w:r>
    </w:p>
    <w:p>
      <w:pPr>
        <w:spacing w:after="140" w:line="276" w:lineRule="auto"/>
        <w:ind w:left="480" w:hanging="480"/>
        <w:jc w:val="both"/>
      </w:pPr>
      <w:r>
        <w:rPr>
          <w:rFonts w:ascii="Times New Roman" w:cs="Times New Roman" w:eastAsia="Times New Roman" w:hAnsi="Times New Roman"/>
          <w:sz w:val="24"/>
          <w:szCs w:val="24"/>
        </w:rPr>
        <w:t xml:space="preserve">Felbermayr G., Kirilakha A., Syropoulos C., Yalcin E., Yotov Y. V. The global sanctions data base // European Economic Review. 2020. Vol. 129. Art. 103561. DOI: 10.1016/j.euroecorev.2020.103561.</w:t>
      </w:r>
    </w:p>
    <w:p>
      <w:pPr>
        <w:spacing w:after="140" w:line="276" w:lineRule="auto"/>
        <w:ind w:left="480" w:hanging="480"/>
        <w:jc w:val="both"/>
      </w:pPr>
      <w:r>
        <w:rPr>
          <w:rFonts w:ascii="Times New Roman" w:cs="Times New Roman" w:eastAsia="Times New Roman" w:hAnsi="Times New Roman"/>
          <w:sz w:val="24"/>
          <w:szCs w:val="24"/>
        </w:rPr>
        <w:t xml:space="preserve">Foss N. J., Saebi T. Fifteen years of research on business model innovation: how far have we come, and where should we go? // Journal of Management. 2017. Vol. 43. No. 1. P. 200–227. DOI: 10.1177/0149206316675927.</w:t>
      </w:r>
    </w:p>
    <w:p>
      <w:pPr>
        <w:spacing w:after="140" w:line="276" w:lineRule="auto"/>
        <w:ind w:left="480" w:hanging="480"/>
        <w:jc w:val="both"/>
      </w:pPr>
      <w:r>
        <w:rPr>
          <w:rFonts w:ascii="Times New Roman" w:cs="Times New Roman" w:eastAsia="Times New Roman" w:hAnsi="Times New Roman"/>
          <w:sz w:val="24"/>
          <w:szCs w:val="24"/>
        </w:rPr>
        <w:t xml:space="preserve">Hansen B. E. Threshold effects in non-dynamic panels: estimation, testing, and inference // Journal of Econometrics. 1999. Vol. 93. No. 2. P. 345–368. DOI: 10.1016/S0304-4076(99)00025-1.</w:t>
      </w:r>
    </w:p>
    <w:p>
      <w:pPr>
        <w:spacing w:after="140" w:line="276" w:lineRule="auto"/>
        <w:ind w:left="480" w:hanging="480"/>
        <w:jc w:val="both"/>
      </w:pPr>
      <w:r>
        <w:rPr>
          <w:rFonts w:ascii="Times New Roman" w:cs="Times New Roman" w:eastAsia="Times New Roman" w:hAnsi="Times New Roman"/>
          <w:sz w:val="24"/>
          <w:szCs w:val="24"/>
        </w:rPr>
        <w:t xml:space="preserve">Hufbauer G. C., Schott J. J., Elliott K. A., Oegg B. Economic Sanctions Reconsidered. 3rd ed. Washington, DC: Peterson Institute for International Economics, 2007. 233 p.</w:t>
      </w:r>
    </w:p>
    <w:p>
      <w:pPr>
        <w:spacing w:after="140" w:line="276" w:lineRule="auto"/>
        <w:ind w:left="480" w:hanging="480"/>
        <w:jc w:val="both"/>
      </w:pPr>
      <w:r>
        <w:rPr>
          <w:rFonts w:ascii="Times New Roman" w:cs="Times New Roman" w:eastAsia="Times New Roman" w:hAnsi="Times New Roman"/>
          <w:sz w:val="24"/>
          <w:szCs w:val="24"/>
        </w:rPr>
        <w:t xml:space="preserve">Huynh L. D. T., Hoang K., Ongena S. The Impact of Foreign Sanctions on Firm Performance in Russia. CEPR Discussion Paper No. 17415. London: Centre for Economic Policy Research, 2022.</w:t>
      </w:r>
    </w:p>
    <w:p>
      <w:pPr>
        <w:spacing w:after="140" w:line="276" w:lineRule="auto"/>
        <w:ind w:left="480" w:hanging="480"/>
        <w:jc w:val="both"/>
      </w:pPr>
      <w:r>
        <w:rPr>
          <w:rFonts w:ascii="Times New Roman" w:cs="Times New Roman" w:eastAsia="Times New Roman" w:hAnsi="Times New Roman"/>
          <w:sz w:val="24"/>
          <w:szCs w:val="24"/>
        </w:rPr>
        <w:t xml:space="preserve">Kazun A., Libman A., Yakovlev A. Expectations matter: strategies of small businesses under economic sanctions in Russia // Eurasian Geography and Economics. 2025. Vol. 62. No. 5–6. DOI: 10.1080/15387216.2025.2594407.</w:t>
      </w:r>
    </w:p>
    <w:p>
      <w:pPr>
        <w:spacing w:after="140" w:line="276" w:lineRule="auto"/>
        <w:ind w:left="480" w:hanging="480"/>
        <w:jc w:val="both"/>
      </w:pPr>
      <w:r>
        <w:rPr>
          <w:rFonts w:ascii="Times New Roman" w:cs="Times New Roman" w:eastAsia="Times New Roman" w:hAnsi="Times New Roman"/>
          <w:sz w:val="24"/>
          <w:szCs w:val="24"/>
        </w:rPr>
        <w:t xml:space="preserve">Kozachenko E., Ryshtein I., Bodolica V., Shirokova G. Resilience under sanctions: a comparison of strategic responses of family and non-family firms in Russia // FIIB Business Review. 2026. DOI: 10.1177/23197145251404250.</w:t>
      </w:r>
    </w:p>
    <w:p>
      <w:pPr>
        <w:spacing w:after="140" w:line="276" w:lineRule="auto"/>
        <w:ind w:left="480" w:hanging="480"/>
        <w:jc w:val="both"/>
      </w:pPr>
      <w:r>
        <w:rPr>
          <w:rFonts w:ascii="Times New Roman" w:cs="Times New Roman" w:eastAsia="Times New Roman" w:hAnsi="Times New Roman"/>
          <w:sz w:val="24"/>
          <w:szCs w:val="24"/>
        </w:rPr>
        <w:t xml:space="preserve">Kuzyk M. G., Simachev Yu. V. Strategies of Russian companies to adapt to the 2022 sanctions // Journal of the New Economic Association. 2023. No. 3. P. 172–180. DOI: 10.31737/22212264_2023_3_172-180.</w:t>
      </w:r>
    </w:p>
    <w:p>
      <w:pPr>
        <w:spacing w:after="140" w:line="276" w:lineRule="auto"/>
        <w:ind w:left="480" w:hanging="480"/>
        <w:jc w:val="both"/>
      </w:pPr>
      <w:r>
        <w:rPr>
          <w:rFonts w:ascii="Times New Roman" w:cs="Times New Roman" w:eastAsia="Times New Roman" w:hAnsi="Times New Roman"/>
          <w:sz w:val="24"/>
          <w:szCs w:val="24"/>
        </w:rPr>
        <w:t xml:space="preserve">Lee H.-S., Kumo K. The impact of sanctions on firms' financial performance in Russia // Eurasian Business Review. 2025. DOI: 10.1007/s40821-025-00337-3.</w:t>
      </w:r>
    </w:p>
    <w:p>
      <w:pPr>
        <w:spacing w:after="140" w:line="276" w:lineRule="auto"/>
        <w:ind w:left="480" w:hanging="480"/>
        <w:jc w:val="both"/>
      </w:pPr>
      <w:r>
        <w:rPr>
          <w:rFonts w:ascii="Times New Roman" w:cs="Times New Roman" w:eastAsia="Times New Roman" w:hAnsi="Times New Roman"/>
          <w:sz w:val="24"/>
          <w:szCs w:val="24"/>
        </w:rPr>
        <w:t xml:space="preserve">Neuenkirch M., Neumeier F. The impact of UN and US economic sanctions on GDP growth // European Journal of Political Economy. 2015. Vol. 40. Part A. P. 110–125. DOI: 10.1016/j.ejpoleco.2015.09.001.</w:t>
      </w:r>
    </w:p>
    <w:p>
      <w:pPr>
        <w:spacing w:after="140" w:line="276" w:lineRule="auto"/>
        <w:ind w:left="480" w:hanging="480"/>
        <w:jc w:val="both"/>
      </w:pPr>
      <w:r>
        <w:rPr>
          <w:rFonts w:ascii="Times New Roman" w:cs="Times New Roman" w:eastAsia="Times New Roman" w:hAnsi="Times New Roman"/>
          <w:sz w:val="24"/>
          <w:szCs w:val="24"/>
        </w:rPr>
        <w:t xml:space="preserve">Osterwalder A., Pigneur Y. Business Model Generation: A Handbook for Visionaries, Game Changers, and Challengers. Hoboken, NJ: John Wiley &amp; Sons, 2010. 288 p.</w:t>
      </w:r>
    </w:p>
    <w:p>
      <w:pPr>
        <w:spacing w:after="140" w:line="276" w:lineRule="auto"/>
        <w:ind w:left="480" w:hanging="480"/>
        <w:jc w:val="both"/>
      </w:pPr>
      <w:r>
        <w:rPr>
          <w:rFonts w:ascii="Times New Roman" w:cs="Times New Roman" w:eastAsia="Times New Roman" w:hAnsi="Times New Roman"/>
          <w:sz w:val="24"/>
          <w:szCs w:val="24"/>
        </w:rPr>
        <w:t xml:space="preserve">Peñarroya-Farell M., Miralles F. Business model adaptation to the COVID-19 crisis: strategic response of the Spanish cultural and creative firms // Journal of Open Innovation: Technology, Market, and Complexity. 2022. Vol. 8. No. 1. Art. 39. DOI: 10.3390/joitmc8010039.</w:t>
      </w:r>
    </w:p>
    <w:p>
      <w:pPr>
        <w:spacing w:after="140" w:line="276" w:lineRule="auto"/>
        <w:ind w:left="480" w:hanging="480"/>
        <w:jc w:val="both"/>
      </w:pPr>
      <w:r>
        <w:rPr>
          <w:rFonts w:ascii="Times New Roman" w:cs="Times New Roman" w:eastAsia="Times New Roman" w:hAnsi="Times New Roman"/>
          <w:sz w:val="24"/>
          <w:szCs w:val="24"/>
        </w:rPr>
        <w:t xml:space="preserve">Roth J., Sant'Anna P. H. C., Bilinski A., Poe J. What's trending in difference-in-differences? A synthesis of the recent econometrics literature // Journal of Econometrics. 2023. Vol. 235. No. 2. P. 2218–2244. DOI: 10.1016/j.jeconom.2023.03.008.</w:t>
      </w:r>
    </w:p>
    <w:p>
      <w:pPr>
        <w:spacing w:after="140" w:line="276" w:lineRule="auto"/>
        <w:ind w:left="480" w:hanging="480"/>
        <w:jc w:val="both"/>
      </w:pPr>
      <w:r>
        <w:rPr>
          <w:rFonts w:ascii="Times New Roman" w:cs="Times New Roman" w:eastAsia="Times New Roman" w:hAnsi="Times New Roman"/>
          <w:sz w:val="24"/>
          <w:szCs w:val="24"/>
        </w:rPr>
        <w:t xml:space="preserve">Sahebalzamani S., Jørgensen E. J. B., Bertella G., Nilsen E. R. A dynamic capabilities approach to business model innovation in times of crisis // Tourism Planning &amp; Development. 2022. Vol. 20. P. 138–161. DOI: 10.1080/21568316.2022.2107560.</w:t>
      </w:r>
    </w:p>
    <w:p>
      <w:pPr>
        <w:spacing w:after="140" w:line="276" w:lineRule="auto"/>
        <w:ind w:left="480" w:hanging="480"/>
        <w:jc w:val="both"/>
      </w:pPr>
      <w:r>
        <w:rPr>
          <w:rFonts w:ascii="Times New Roman" w:cs="Times New Roman" w:eastAsia="Times New Roman" w:hAnsi="Times New Roman"/>
          <w:sz w:val="24"/>
          <w:szCs w:val="24"/>
        </w:rPr>
        <w:t xml:space="preserve">Teece D. J. Explicating dynamic capabilities: the nature and microfoundations of (sustainable) enterprise performance // Strategic Management Journal. 2007. Vol. 28. No. 13. P. 1319–1350. DOI: 10.1002/smj.640.</w:t>
      </w:r>
    </w:p>
    <w:p>
      <w:pPr>
        <w:spacing w:after="140" w:line="276" w:lineRule="auto"/>
        <w:ind w:left="480" w:hanging="480"/>
        <w:jc w:val="both"/>
      </w:pPr>
      <w:r>
        <w:rPr>
          <w:rFonts w:ascii="Times New Roman" w:cs="Times New Roman" w:eastAsia="Times New Roman" w:hAnsi="Times New Roman"/>
          <w:sz w:val="24"/>
          <w:szCs w:val="24"/>
        </w:rPr>
        <w:t xml:space="preserve">Teece D. J., Pisano G., Shuen A. Dynamic capabilities and strategic management // Strategic Management Journal. 1997. Vol. 18. No. 7. P. 509–533. DOI: 10.1002/(SICI)1097-0266(199708)18:7&lt;509::AID-SMJ882&gt;3.0.CO;2-Z.</w:t>
      </w:r>
    </w:p>
    <w:p>
      <w:pPr>
        <w:spacing w:after="140" w:line="276" w:lineRule="auto"/>
        <w:ind w:left="480" w:hanging="480"/>
        <w:jc w:val="both"/>
      </w:pPr>
      <w:r>
        <w:rPr>
          <w:rFonts w:ascii="Times New Roman" w:cs="Times New Roman" w:eastAsia="Times New Roman" w:hAnsi="Times New Roman"/>
          <w:sz w:val="24"/>
          <w:szCs w:val="24"/>
        </w:rPr>
        <w:t xml:space="preserve">Wooldridge J. M. Econometric Analysis of Cross Section and Panel Data. 2nd ed. Cambridge, MA: MIT Press, 2010. 1096 p.</w:t>
      </w:r>
    </w:p>
    <w:p>
      <w:pPr>
        <w:spacing w:after="140" w:line="276" w:lineRule="auto"/>
        <w:ind w:left="480" w:hanging="480"/>
        <w:jc w:val="both"/>
      </w:pPr>
      <w:r>
        <w:rPr>
          <w:rFonts w:ascii="Times New Roman" w:cs="Times New Roman" w:eastAsia="Times New Roman" w:hAnsi="Times New Roman"/>
          <w:sz w:val="24"/>
          <w:szCs w:val="24"/>
        </w:rPr>
        <w:t xml:space="preserve">Yalcin E., Felbermayr G., Kariem H., Kirilakha A., Kwon O., Syropoulos C., Yotov Y. V. The Global Sanctions Data Base — Release 4: the heterogeneous effects of the sanctions on Russia // The World Economy. 2025. Vol. 48. No. 9. P. 2003–2017. DOI: 10.1111/twec.13732.</w:t>
      </w:r>
    </w:p>
    <w:p>
      <w:pPr>
        <w:spacing w:after="140" w:line="276" w:lineRule="auto"/>
        <w:ind w:left="480" w:hanging="480"/>
        <w:jc w:val="both"/>
      </w:pPr>
      <w:r>
        <w:rPr>
          <w:rFonts w:ascii="Times New Roman" w:cs="Times New Roman" w:eastAsia="Times New Roman" w:hAnsi="Times New Roman"/>
          <w:sz w:val="24"/>
          <w:szCs w:val="24"/>
        </w:rPr>
        <w:t xml:space="preserve">Zott C., Amit R., Massa L. The business model: recent developments and future research // Journal of Management. 2011. Vol. 37. No. 4. P. 1019–1042. DOI: 10.1177/0149206311406265.</w:t>
      </w: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creator>Автор диссертационного исследования</dc:creator>
  <cp:lastModifiedBy>Un-named</cp:lastModifiedBy>
  <cp:revision>1</cp:revision>
  <dcterms:created xsi:type="dcterms:W3CDTF">2026-09-04T16:19:27.790Z</dcterms:created>
  <dcterms:modified xsi:type="dcterms:W3CDTF">2026-09-04T16:19:27.803Z</dcterms:modified>
</cp:coreProperties>
</file>

<file path=docProps/custom.xml><?xml version="1.0" encoding="utf-8"?>
<Properties xmlns="http://schemas.openxmlformats.org/officeDocument/2006/custom-properties" xmlns:vt="http://schemas.openxmlformats.org/officeDocument/2006/docPropsVTypes"/>
</file>