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60" w:before="240" w:line="360" w:lineRule="auto"/>
        <w:jc w:val="center"/>
      </w:pPr>
      <w:r>
        <w:rPr>
          <w:rFonts w:ascii="Times New Roman" w:cs="Times New Roman" w:eastAsia="Times New Roman" w:hAnsi="Times New Roman"/>
          <w:b/>
          <w:bCs/>
          <w:sz w:val="32"/>
          <w:szCs w:val="32"/>
        </w:rPr>
        <w:t xml:space="preserve">ГЛАВА 1. ТЕОРЕТИЧЕСКИЕ ОСНОВЫ И МЕТОДОЛОГИЧЕСКИЕ ПРЕДПОСЫЛКИ ОЦЕНКИ ВЛИЯНИЯ САНКЦИОННЫХ ШОКОВ НА ТРАНСФОРМАЦИЮ БИЗНЕС-МОДЕЛИ КОМПАНИЙ IT-ОТРАСЛИ</w:t>
      </w:r>
    </w:p>
    <w:p>
      <w:pPr>
        <w:spacing w:after="160" w:before="0" w:line="360" w:lineRule="auto"/>
        <w:ind w:firstLine="709"/>
        <w:jc w:val="both"/>
      </w:pPr>
      <w:r>
        <w:rPr>
          <w:rFonts w:ascii="Times New Roman" w:cs="Times New Roman" w:eastAsia="Times New Roman" w:hAnsi="Times New Roman"/>
          <w:sz w:val="28"/>
          <w:szCs w:val="28"/>
        </w:rPr>
        <w:t xml:space="preserve">Введение сформулировало научную проблему настоящего исследования как системное несоответствие между зрелостью эконометрического инструментария причинного анализа и отсутствием операционализированной переменной, адекватной задаче измерения структурной трансформации бизнес-модели компании. Задача настоящей главы состоит не в повторении данного тезиса, а в его доказательстве: последовательно проверить, действительно ли ни один из существующих теоретических и методических подходов не закрывает данную задачу, и на этой основе вывести формальные требования к разрабатываемой методике. Изложение движется не по хронологическому или тематическому, а по причинному принципу — от внешнего шока к реакции фирмы, от реакции фирмы к трансформации её бизнес-модели, от общего понимания трансформации к вопросу о её измерении, и от измерения — к вопросу о том, каким образом существующий методический инструментарий позволяет измерение формализовать.</w:t>
      </w:r>
    </w:p>
    <w:p>
      <w:pPr>
        <w:pStyle w:val="Heading2"/>
        <w:spacing w:after="200" w:before="360" w:line="360" w:lineRule="auto"/>
        <w:jc w:val="left"/>
      </w:pPr>
      <w:r>
        <w:rPr>
          <w:rFonts w:ascii="Times New Roman" w:cs="Times New Roman" w:eastAsia="Times New Roman" w:hAnsi="Times New Roman"/>
          <w:b/>
          <w:bCs/>
          <w:sz w:val="28"/>
          <w:szCs w:val="28"/>
        </w:rPr>
        <w:t xml:space="preserve">1.1. Санкционный шок и его воздействие на фирму</w:t>
      </w:r>
    </w:p>
    <w:p>
      <w:pPr>
        <w:pStyle w:val="Heading3"/>
        <w:spacing w:after="160" w:before="260" w:line="360" w:lineRule="auto"/>
        <w:jc w:val="left"/>
      </w:pPr>
      <w:r>
        <w:rPr>
          <w:rFonts w:ascii="Times New Roman" w:cs="Times New Roman" w:eastAsia="Times New Roman" w:hAnsi="Times New Roman"/>
          <w:b/>
          <w:bCs/>
          <w:i/>
          <w:iCs/>
          <w:sz w:val="26"/>
          <w:szCs w:val="26"/>
        </w:rPr>
        <w:t xml:space="preserve">1.1.1. Понятие и классификация санкций</w:t>
      </w:r>
    </w:p>
    <w:p>
      <w:pPr>
        <w:spacing w:after="160" w:before="0" w:line="360" w:lineRule="auto"/>
        <w:ind w:firstLine="709"/>
        <w:jc w:val="both"/>
      </w:pPr>
      <w:r>
        <w:rPr>
          <w:rFonts w:ascii="Times New Roman" w:cs="Times New Roman" w:eastAsia="Times New Roman" w:hAnsi="Times New Roman"/>
          <w:sz w:val="28"/>
          <w:szCs w:val="28"/>
        </w:rPr>
        <w:t xml:space="preserve">Понятие санкций в экономической литературе не имеет единого общепризнанного определения, что отражает многообразие форм, целей и механизмов реализации данного инструмента внешней политики. Хафбауэр, Шотт, Эллиотт и Оегг, проанализировавшие 204 санкционных эпизода начиная с 1914 г., определяют экономические санкции как преднамеренное, инициированное правительством или группой правительств прекращение либо угрозу прекращения обычных торговых или финансовых отношений с целью склонить объект санкций к изменению политического поведения (Hufbauer, Schott, Elliott, Oegg, 2007). Данное определение является преимущественно инструментальным: оно акцентирует внешнеполитическую цель санкций, оставляя на периферии вопрос об экономическом механизме их воздействия на конкретных хозяйствующих субъектов.</w:t>
      </w:r>
    </w:p>
    <w:p>
      <w:pPr>
        <w:spacing w:after="160" w:before="0" w:line="360" w:lineRule="auto"/>
        <w:ind w:firstLine="709"/>
        <w:jc w:val="both"/>
      </w:pPr>
      <w:r>
        <w:rPr>
          <w:rFonts w:ascii="Times New Roman" w:cs="Times New Roman" w:eastAsia="Times New Roman" w:hAnsi="Times New Roman"/>
          <w:sz w:val="28"/>
          <w:szCs w:val="28"/>
        </w:rPr>
        <w:t xml:space="preserve">Альтернативный акцент представлен в работах, систематизирующих санкции по типу применяемого ограничения. Фельбермайр с соавторами, создавшие наиболее полную базу данных по санкционным режимам — Global Sanctions Data Base, — классифицируют санкции по инструментальному признаку: торговые ограничения, финансовые ограничения, санкции, направленные против конкретных физических и юридических лиц, а также технологические ограничения (Felbermayr, Kirilakha, Syropoulos, Yalcin, Yotov, 2020). Данная типология методологически ценна тем, что переводит понятие санкций из категории единого недифференцированного инструмента в категорию составного воздействия, элементы которого способны затрагивать различные стороны хозяйственной деятельности фирмы неодинаково, — что впоследствии, в четвёртом издании базы данных, было прямо подтверждено эмпирически применительно к неоднородности эффектов санкционного режима против России (Yalcin, Felbermayr, Kariem, Kirilakha, Kwon, Syropoulos, Yotov, 2025).</w:t>
      </w:r>
    </w:p>
    <w:p>
      <w:pPr>
        <w:spacing w:after="160" w:before="0" w:line="360" w:lineRule="auto"/>
        <w:ind w:firstLine="709"/>
        <w:jc w:val="both"/>
      </w:pPr>
      <w:r>
        <w:rPr>
          <w:rFonts w:ascii="Times New Roman" w:cs="Times New Roman" w:eastAsia="Times New Roman" w:hAnsi="Times New Roman"/>
          <w:sz w:val="28"/>
          <w:szCs w:val="28"/>
        </w:rPr>
        <w:t xml:space="preserve">Оба рассмотренных подхода объединяет то, что их единицей анализа выступает санкционный режим как таковой — совокупность мер, применяемых страной-инициатором к стране-объекту, — а не отдельная фирма, на которую данный режим воздействует. Для целей настоящего исследования, сфокусированного на компании как единице анализа, подобной макроориентированной трактовки санкций недостаточно: требуется определение, связывающее санкционный режим страны с изменением условий хозяйственной деятельности конкретной фирмы. Рабочее определение, принимаемое в настоящей работе, формулируется следующим образом: санкции представляют собой совокупность вводимых иностранными государствами и их объединениями торговых, финансовых и технологических ограничений, дифференцированно затрагивающих доступ отдельных компаний страны-объекта к внешним рынкам, источникам финансирования и технологическим ресурсам. Данное определение сохраняет типологическую структуру Фельбермайра с соавторами, но переносит акцент с режима как целого на его дифференцированное воздействие на отдельных экономических агентов — перенос, необходимый для последующего перехода от макроэкономического к фирменному уровню анализа.</w:t>
      </w:r>
    </w:p>
    <w:p>
      <w:pPr>
        <w:pStyle w:val="Heading3"/>
        <w:spacing w:after="160" w:before="260" w:line="360" w:lineRule="auto"/>
        <w:jc w:val="left"/>
      </w:pPr>
      <w:r>
        <w:rPr>
          <w:rFonts w:ascii="Times New Roman" w:cs="Times New Roman" w:eastAsia="Times New Roman" w:hAnsi="Times New Roman"/>
          <w:b/>
          <w:bCs/>
          <w:i/>
          <w:iCs/>
          <w:sz w:val="26"/>
          <w:szCs w:val="26"/>
        </w:rPr>
        <w:t xml:space="preserve">1.1.2. Механизмы экономического воздействия санкций: санкционный шок и санкционная экспозиция</w:t>
      </w:r>
    </w:p>
    <w:p>
      <w:pPr>
        <w:spacing w:after="160" w:before="0" w:line="360" w:lineRule="auto"/>
        <w:ind w:firstLine="709"/>
        <w:jc w:val="both"/>
      </w:pPr>
      <w:r>
        <w:rPr>
          <w:rFonts w:ascii="Times New Roman" w:cs="Times New Roman" w:eastAsia="Times New Roman" w:hAnsi="Times New Roman"/>
          <w:sz w:val="28"/>
          <w:szCs w:val="28"/>
        </w:rPr>
        <w:t xml:space="preserve">Понятие санкционного шока требует отдельного определения, отличного от понятия санкций как такового. Санкции — это действие, предпринимаемое государством-инициатором; санкционный шок — это следствие данного действия для конкретного хозяйствующего субъекта, выражающееся в резком и экзогенном по отношению к его собственным решениям изменении условий доступа к ресурсам, рынкам и финансированию. Различие принципиально важно методологически: санкции как макрособытие одинаковы для всех компаний страны-объекта в данный момент времени и потому не могут выступать объясняющей переменной на уровне отдельной фирмы, тогда как санкционный шок дифференцирован по компаниям в зависимости от их исходной интеграции в затрагиваемые контуры — технологический, рыночный, финансовый, — и именно эта дифференциация образует содержательную основу эмпирического анализа, предпринимаемого в настоящей диссертации.</w:t>
      </w:r>
    </w:p>
    <w:p>
      <w:pPr>
        <w:spacing w:after="160" w:before="0" w:line="360" w:lineRule="auto"/>
        <w:ind w:firstLine="709"/>
        <w:jc w:val="both"/>
      </w:pPr>
      <w:r>
        <w:rPr>
          <w:rFonts w:ascii="Times New Roman" w:cs="Times New Roman" w:eastAsia="Times New Roman" w:hAnsi="Times New Roman"/>
          <w:sz w:val="28"/>
          <w:szCs w:val="28"/>
        </w:rPr>
        <w:t xml:space="preserve">Санкционный шок в настоящем исследовании определяется как резкое, экзогенное для отдельной компании изменение доступности внешних технологических ресурсов, рынков сбыта и источников финансирования, наступающее вследствие введения санкционного режима и различающееся по интенсивности воздействия в зависимости от предшествовавшей шоку структуры связей компании с иностранными партнёрами, поставщиками, клиентами и инвесторами. Интенсивность данного воздействия применительно к конкретной фирме образует содержание понятия санкционной экспозиции компании — характеристики, отражающей степень предшоковой интеграции фирмы в затрагиваемые санкционным режимом контуры хозяйственной деятельности и, тем самым, потенциальный масштаб утраты доступа к ресурсам, рынкам и капиталу при наступлении шока. Понятие санкционной экспозиции содержательно родственно понятию экспозиции к торговому шоку, используемому в литературе об инструментах типа «shift-share», конструирующих меру воздействия агрегированного шока на отдельные единицы наблюдения через их предшоковую структурную характеристику (Goldsmith-Pinkham, Sorkin, Swift, 2020), и применённому непосредственно к анализу торговых последствий санкций против России на уровне отдельных товарных партий и партнёров (Crozet, Hinz, 2020). Отличие настоящего понятия состоит в единице наблюдения и в её многокомпонентности: санкционная экспозиция компании относится не к стране, региону или товарной группе, а к отдельной фирме и агрегирует несколько измерений её предшоковой интеграции в затрагиваемые контуры одновременно, что отражает многокомпонентную природу самого понятия санкций, установленную в разделе 1.1.1.</w:t>
      </w:r>
    </w:p>
    <w:p>
      <w:pPr>
        <w:spacing w:after="160" w:before="0" w:line="360" w:lineRule="auto"/>
        <w:ind w:firstLine="709"/>
        <w:jc w:val="both"/>
      </w:pPr>
      <w:r>
        <w:rPr>
          <w:rFonts w:ascii="Times New Roman" w:cs="Times New Roman" w:eastAsia="Times New Roman" w:hAnsi="Times New Roman"/>
          <w:sz w:val="28"/>
          <w:szCs w:val="28"/>
        </w:rPr>
        <w:t xml:space="preserve">Принципиальным для последующей эмпирической реализации является момент, в который данная характеристика фиксируется. Если санкционная экспозиция измеряется одновременно с наблюдаемым откликом фирмы — то есть по данным, относящимся к периоду уже произошедшего воздействия шока, — показатель утрачивает содержание независимой характеристики и превращается в частичное отражение уже состоявшейся адаптации, что делает его непригодным для причинного анализа. Соответственно, в настоящем исследовании санкционная экспозиция компании трактуется как предопределённая (predetermined), зафиксированная до наступления шока характеристика фирмы — методологическое решение, обосновываемое здесь на понятийном уровне и операционализируемое во второй главе диссертации через построение индекса санкционной экспозиции по данным, относящимся исключительно к периоду, предшествующему шоку. Из сопоставления рассмотренных понятий следует, что понятийная триада «санкции — санкционный шок — санкционная экспозиция» описывает последовательность перехода от макроэкономического события к его дифференцированному, измеримому на уровне отдельной фирмы отражению, — последовательность, образующую понятийную основу перехода от традиционного для литературы о санкциях макроэкономического анализа к анализу на уровне фирмы.</w:t>
      </w:r>
    </w:p>
    <w:p>
      <w:pPr>
        <w:pStyle w:val="Heading3"/>
        <w:spacing w:after="160" w:before="260" w:line="360" w:lineRule="auto"/>
        <w:jc w:val="left"/>
      </w:pPr>
      <w:r>
        <w:rPr>
          <w:rFonts w:ascii="Times New Roman" w:cs="Times New Roman" w:eastAsia="Times New Roman" w:hAnsi="Times New Roman"/>
          <w:b/>
          <w:bCs/>
          <w:i/>
          <w:iCs/>
          <w:sz w:val="26"/>
          <w:szCs w:val="26"/>
        </w:rPr>
        <w:t xml:space="preserve">1.1.3. Переход от макроэкономического к firm-level анализу</w:t>
      </w:r>
    </w:p>
    <w:p>
      <w:pPr>
        <w:spacing w:after="160" w:before="0" w:line="360" w:lineRule="auto"/>
        <w:ind w:firstLine="709"/>
        <w:jc w:val="both"/>
      </w:pPr>
      <w:r>
        <w:rPr>
          <w:rFonts w:ascii="Times New Roman" w:cs="Times New Roman" w:eastAsia="Times New Roman" w:hAnsi="Times New Roman"/>
          <w:sz w:val="28"/>
          <w:szCs w:val="28"/>
        </w:rPr>
        <w:t xml:space="preserve">Проверка достаточности существующего инструментария анализа санкционного воздействия требует рассмотрения не общего объёма литературы о санкциях, а последовательно трёх уровней анализа, различающихся единицей наблюдения: макроэкономического, отраслевого и фирменного.</w:t>
      </w:r>
    </w:p>
    <w:p>
      <w:pPr>
        <w:spacing w:after="160" w:before="0" w:line="360" w:lineRule="auto"/>
        <w:ind w:firstLine="709"/>
        <w:jc w:val="both"/>
      </w:pPr>
      <w:r>
        <w:rPr>
          <w:rFonts w:ascii="Times New Roman" w:cs="Times New Roman" w:eastAsia="Times New Roman" w:hAnsi="Times New Roman"/>
          <w:sz w:val="28"/>
          <w:szCs w:val="28"/>
        </w:rPr>
        <w:t xml:space="preserve">На макроэкономическом уровне санкции рассматриваются как фактор, воздействующий на агрегированные показатели страны-объекта. Монография Хафбауэра, Шотта, Эллиотт и Оегг установила, что экономические санкции достигают заявленных политических целей лишь в ограниченной доле случаев (Hufbauer, Schott, Elliott, Oegg, 2007); Нойенкирх и Ноймайер, применив панельную регрессию с фиксированными эффектами к данным 167 стран за 1976–2012 гг., показали, что санкции ООН связаны со снижением темпов роста ВВП страны-объекта в среднем на 2,3–3,5 процентных пункта в год (Neuenkirch, Neumeier, 2015). Достаточен ли данный уровень анализа для оценки трансформации бизнес-модели отдельной компании? Не достаточен: единицей анализа выступает страна, а методология по своей архитектуре агрегирует реакцию всех экономических агентов внутри страны-объекта в единый показатель, что делает принципиально невозможным наблюдение неоднородности реакции отдельных фирм — именно той неоднородности, которая образует содержательный предмет настоящего исследования.</w:t>
      </w:r>
    </w:p>
    <w:p>
      <w:pPr>
        <w:spacing w:after="160" w:before="0" w:line="360" w:lineRule="auto"/>
        <w:ind w:firstLine="709"/>
        <w:jc w:val="both"/>
      </w:pPr>
      <w:r>
        <w:rPr>
          <w:rFonts w:ascii="Times New Roman" w:cs="Times New Roman" w:eastAsia="Times New Roman" w:hAnsi="Times New Roman"/>
          <w:sz w:val="28"/>
          <w:szCs w:val="28"/>
        </w:rPr>
        <w:t xml:space="preserve">На отраслевом уровне анализ смещается к дифференцированному воздействию санкций на отдельные секторы экономики в зависимости от характера применяемых ограничений. Исследование влияния экспортного контроля США на инновационную активность китайских компаний, включённых в санкционные списки, показало, что технологические ограничения способны не подавлять, а стимулировать рост внутренних расходов на исследования и разработки и патентную активность подсанкционных фирм (Lin, Zhang, Yang, Chen, 2025), что демонстрирует принципиальную неоднородность отраслевого эффекта. Достаточен ли отраслевой уровень анализа? Также не достаточен, хотя и по иной причине, чем макроуровень: отраслевые исследования способны зафиксировать различие в средней реакции секторов, но не предназначены для измерения многомерной структурной трансформации внутри отдельной фирмы — их зависимой переменной остаются агрегированные отраслевые показатели, а не конфигурация бизнес-модели.</w:t>
      </w:r>
    </w:p>
    <w:p>
      <w:pPr>
        <w:pStyle w:val="Heading3"/>
        <w:spacing w:after="160" w:before="260" w:line="360" w:lineRule="auto"/>
        <w:jc w:val="left"/>
      </w:pPr>
      <w:r>
        <w:rPr>
          <w:rFonts w:ascii="Times New Roman" w:cs="Times New Roman" w:eastAsia="Times New Roman" w:hAnsi="Times New Roman"/>
          <w:b/>
          <w:bCs/>
          <w:i/>
          <w:iCs/>
          <w:sz w:val="26"/>
          <w:szCs w:val="26"/>
        </w:rPr>
        <w:t xml:space="preserve">1.1.4. Санкционные шоки как источник трансформации условий деятельности фирмы</w:t>
      </w:r>
    </w:p>
    <w:p>
      <w:pPr>
        <w:spacing w:after="160" w:before="0" w:line="360" w:lineRule="auto"/>
        <w:ind w:firstLine="709"/>
        <w:jc w:val="both"/>
      </w:pPr>
      <w:r>
        <w:rPr>
          <w:rFonts w:ascii="Times New Roman" w:cs="Times New Roman" w:eastAsia="Times New Roman" w:hAnsi="Times New Roman"/>
          <w:sz w:val="28"/>
          <w:szCs w:val="28"/>
        </w:rPr>
        <w:t xml:space="preserve">На фирменном уровне анализа, получившем интенсивное развитие применительно к санкционным режимам против России, единица наблюдения смещается непосредственно на компанию. Крозе и Хинц применили метод синтетического контроля к оценке торговых последствий санкций и контрсанкций 2014 г. (Crozet, Hinz, 2020); Ан и Людема показали неоднородность экономического эффекта санкций в зависимости от типа применённых к фирме ограничений (Ahn, Ludema, 2020); Беседеш, Гольдбах и Нитч установили, что финансовые санкции затрагивают через контрагентские связи даже нефинансовые фирмы (Besedeš, Goldbach, Nitsch, 2021). Применительно к режиму 2022 г. появился ряд работ, непосредственно анализирующих реакцию российских компаний: панельный анализ влияния зарубежных санкций на финансовую результативность российских фирм (Huynh, Hoang, Ongena, 2022); построение авторского индекса санкционного давления и оценка его влияния на финансовую результативность и кредитоспособность 58 российских нефинансовых компаний (Dobrynina, Grishunin, 2025); анализ влияния санкций на результативность российских фирм на более широкой выборке (Lee, Kumo, 2025); и описательная систематизация адаптационных стратегий российских компаний к санкциям 2022 г. (Kuzyk, Simachev, 2023).</w:t>
      </w:r>
    </w:p>
    <w:p>
      <w:pPr>
        <w:spacing w:after="160" w:before="0" w:line="360" w:lineRule="auto"/>
        <w:ind w:firstLine="709"/>
        <w:jc w:val="both"/>
      </w:pPr>
      <w:r>
        <w:rPr>
          <w:rFonts w:ascii="Times New Roman" w:cs="Times New Roman" w:eastAsia="Times New Roman" w:hAnsi="Times New Roman"/>
          <w:sz w:val="28"/>
          <w:szCs w:val="28"/>
        </w:rPr>
        <w:t xml:space="preserve">Достаточен ли фирменный уровень анализа санкций, как он представлен в перечисленных работах, для оценки трансформации бизнес-модели? Ответ требует различения формы и содержания: по форме фирменный уровень анализа — с использованием панельных данных, эконометрических моделей причинной идентификации, построением авторских индексов санкционного давления — методологически близок к тому, что требуется настоящему исследованию, и в этом смысле образует наиболее релевантный методологический прецедент. Однако по содержанию зависимая переменная во всех рассмотренных работах представляет собой либо агрегированный финансовый показатель — выручку, рентабельность, кредитный рейтинг, — либо описательно фиксируемую адаптационную стратегию, не операционализированную в виде количественного, статистически оцениваемого индекса структурных изменений бизнес-модели. Иными словами, фирменный уровень анализа санкций демонстрирует методологическую пригодность своего эконометрического инструментария, но не даёт готового решения задачи измерения именно того объекта, к которому данный инструментарий необходимо применить, — трансформации бизнес-модели.</w:t>
      </w:r>
    </w:p>
    <w:p>
      <w:pPr>
        <w:spacing w:after="160" w:before="0" w:line="360" w:lineRule="auto"/>
        <w:ind w:firstLine="709"/>
        <w:jc w:val="both"/>
      </w:pPr>
      <w:r>
        <w:rPr>
          <w:rFonts w:ascii="Times New Roman" w:cs="Times New Roman" w:eastAsia="Times New Roman" w:hAnsi="Times New Roman"/>
          <w:sz w:val="28"/>
          <w:szCs w:val="28"/>
        </w:rPr>
        <w:t xml:space="preserve">Из последовательной проверки трёх уровней анализа следует общий вывод, замыкающий настоящий раздел: санкционный шок является внешним воздействием, которое неодинаково затрагивает фирмы и поэтому требует учёта различий в их исходной экспозиции, — вывод, установленный не декларативно, а как логическое следствие последовательной проверки макроэкономического, отраслевого и фирменного уровней анализа, ни один из которых не даёт готовой процедуры подобного учёта применительно к трансформации бизнес-модели. Из этого прямо следует необходимость обращения к иному массиву литературы — не к тому, что известно о санкциях, а к тому, что известно о механизме, посредством которого фирма реагирует на дифференцированное внешнее давление.</w:t>
      </w:r>
    </w:p>
    <w:p>
      <w:pPr>
        <w:pStyle w:val="Heading2"/>
        <w:spacing w:after="200" w:before="360" w:line="360" w:lineRule="auto"/>
        <w:jc w:val="left"/>
      </w:pPr>
      <w:r>
        <w:rPr>
          <w:rFonts w:ascii="Times New Roman" w:cs="Times New Roman" w:eastAsia="Times New Roman" w:hAnsi="Times New Roman"/>
          <w:b/>
          <w:bCs/>
          <w:sz w:val="28"/>
          <w:szCs w:val="28"/>
        </w:rPr>
        <w:t xml:space="preserve">1.2. Адаптация компаний к внешним шокам</w:t>
      </w:r>
    </w:p>
    <w:p>
      <w:pPr>
        <w:spacing w:after="160" w:before="0" w:line="360" w:lineRule="auto"/>
        <w:ind w:firstLine="709"/>
        <w:jc w:val="both"/>
      </w:pPr>
      <w:r>
        <w:rPr>
          <w:rFonts w:ascii="Times New Roman" w:cs="Times New Roman" w:eastAsia="Times New Roman" w:hAnsi="Times New Roman"/>
          <w:sz w:val="28"/>
          <w:szCs w:val="28"/>
        </w:rPr>
        <w:t xml:space="preserve">Установленная в разделе 1.1 недостаточность литературы о санкциях для измерения трансформации бизнес-модели ставит следующий вопрос: какая теоретическая традиция способна объяснить, почему при воздействии одного и того же внешнего шока одни компании адаптируются быстрее и глубже других и, что наиболее существенно для задач настоящего исследования, каким образом происходит переход от общего понятия «адаптация» к конкретному, измеримому изменению структуры бизнес-модели фирмы. В экономической науке сложилось не менее пяти относительно самостоятельных теоретических традиций, предлагающих различающиеся ответы на данный вопрос; выбор теоретической рамки для настоящего исследования требует не декларативного предпочтения одной из них, а последовательного сопоставления их объяснительной силы по трём критериям: способности объяснить не только устойчивость, но и процесс реконфигурации фирмы; способности связать данный процесс именно с бизнес-моделью, а не с более общими категориями устойчивости или гибкости; и применимости к специфике санкционного шока как дискретного, юридически оформленного и многокомпонентного внешнего воздействия.</w:t>
      </w:r>
    </w:p>
    <w:p>
      <w:pPr>
        <w:spacing w:after="160" w:before="0" w:line="360" w:lineRule="auto"/>
        <w:ind w:firstLine="709"/>
        <w:jc w:val="both"/>
      </w:pPr>
      <w:r>
        <w:rPr>
          <w:rFonts w:ascii="Times New Roman" w:cs="Times New Roman" w:eastAsia="Times New Roman" w:hAnsi="Times New Roman"/>
          <w:sz w:val="28"/>
          <w:szCs w:val="28"/>
        </w:rPr>
        <w:t xml:space="preserve">Ресурсный подход (Resource-Based View) образует исторически более раннюю традицию объяснения устойчивого конкурентного преимущества фирмы. Вернерфельт показал, что фирму можно анализировать со стороны совокупности принадлежащих ей ресурсов, а не только со стороны продуктовых рынков, на которых она конкурирует (Wernerfelt, 1984), а Барни сформулировал критерии, при которых ресурс образует источник устойчивого конкурентного преимущества, — ценность, редкость, невоспроизводимость, отсутствие эквивалентных субститутов (Barney, 1991). Объяснительная сила данного подхода применительно к задачам настоящего исследования ограничена его преимущественно статичным характером: он объясняет, почему компании с разной ресурсной базой различаются по устойчивости к шоку, но не объясняет процесс, посредством которого ресурсная база перестраивается в ответ на дискретное возмущение, — отвечает на вопрос «почему разные фирмы устойчивы неодинаково», но не на вопрос «как именно происходит трансформация».</w:t>
      </w:r>
    </w:p>
    <w:p>
      <w:pPr>
        <w:spacing w:after="160" w:before="0" w:line="360" w:lineRule="auto"/>
        <w:ind w:firstLine="709"/>
        <w:jc w:val="both"/>
      </w:pPr>
      <w:r>
        <w:rPr>
          <w:rFonts w:ascii="Times New Roman" w:cs="Times New Roman" w:eastAsia="Times New Roman" w:hAnsi="Times New Roman"/>
          <w:sz w:val="28"/>
          <w:szCs w:val="28"/>
        </w:rPr>
        <w:t xml:space="preserve">Теория динамических способностей прямо адресует данное ограничение. Тис, Пизано и Шуен определяют динамические способности как способность фирмы интегрировать, выстраивать и реконфигурировать внутренние и внешние компетенции в ответ на быстро меняющуюся среду (Teece, Pisano, Shuen, 1997), а последующая конкретизация теории раскрывает данную способность через три микрооснóвы — sensing (распознавание возможностей и угроз), seizing (их использование посредством реконфигурации ресурсов и бизнес-модели) и transforming (собственно трансформацию организационных активов) (Teece, 2007). Растущий массив количественных эмпирических работ подтверждает операционализируемость данной теории применительно к кризисным условиям: структурное моделирование связи динамических способностей и результативности 209 малых и средних предприятий в период COVID-19 показало их положительное влияние на результативность как до, так и во время пандемического шока (Dejardin, Raposo, Ferreira, Fernandes, Veiga, Farinha, 2022), а анализ роли динамических способностей в инновации бизнес-модели туристических предприятий в кризисный период прямо связал механизм seizing с пересмотром логики создания ценности (Sahebalzamani, Jørgensen, Bertella, Nilsen, 2022).</w:t>
      </w:r>
    </w:p>
    <w:p>
      <w:pPr>
        <w:spacing w:after="160" w:before="0" w:line="360" w:lineRule="auto"/>
        <w:ind w:firstLine="709"/>
        <w:jc w:val="both"/>
      </w:pPr>
      <w:r>
        <w:rPr>
          <w:rFonts w:ascii="Times New Roman" w:cs="Times New Roman" w:eastAsia="Times New Roman" w:hAnsi="Times New Roman"/>
          <w:sz w:val="28"/>
          <w:szCs w:val="28"/>
        </w:rPr>
        <w:t xml:space="preserve">Теория организационной резильентности смещает аналитический фокус с процесса реконфигурации на способность организации сохранять функциональность и восстанавливаться после разрушительного воздействия: Дучек концептуализирует резильентность как метаспособность, реализуемую в стадиях предвосхищения, преодоления и адаптации, не тождественную простому восстановлению исходного состояния (Duchek, 2020). Теория стратегической гибкости объясняет различие в скорости адаптации через свойства самой ресурсной базы: Санчес показывает, что стратегическая гибкость есть функция гибкости используемых фирмой ресурсов и гибкости их координации (Sanchez, 1995). Теория абсорбционной способности объясняет способность фирмы осваивать новое внешнее знание через накопленный запас предшествующего знания, создающий зависимость от траектории развития (Cohen, Levinthal, 1990), — применительно к санкционному шоку данная теория объясняет прежде всего способность компании осваивать замещающие технологии, но не даёт целостного объяснения трансформации иных структурных блоков бизнес-модели.</w:t>
      </w:r>
    </w:p>
    <w:p>
      <w:pPr>
        <w:spacing w:after="120" w:before="240"/>
        <w:jc w:val="left"/>
      </w:pPr>
      <w:r>
        <w:rPr>
          <w:rFonts w:ascii="Times New Roman" w:cs="Times New Roman" w:eastAsia="Times New Roman" w:hAnsi="Times New Roman"/>
          <w:sz w:val="28"/>
          <w:szCs w:val="28"/>
        </w:rPr>
        <w:t xml:space="preserve">Таблица 1.1 — Теоретические подходы к анализу адаптации компаний к внешним шокам</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403"/>
        <w:gridCol w:w="1590"/>
        <w:gridCol w:w="1871"/>
        <w:gridCol w:w="1684"/>
        <w:gridCol w:w="1684"/>
        <w:gridCol w:w="1123"/>
      </w:tblGrid>
      <w:tr>
        <w:trPr>
          <w:tblHeader/>
        </w:trPr>
        <w:tc>
          <w:tcPr>
            <w:tcW w:type="dxa" w:w="1403"/>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Подход</w:t>
            </w:r>
          </w:p>
        </w:tc>
        <w:tc>
          <w:tcPr>
            <w:tcW w:type="dxa" w:w="1590"/>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Основные авторы</w:t>
            </w:r>
          </w:p>
        </w:tc>
        <w:tc>
          <w:tcPr>
            <w:tcW w:type="dxa" w:w="187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Ключевой механизм</w:t>
            </w:r>
          </w:p>
        </w:tc>
        <w:tc>
          <w:tcPr>
            <w:tcW w:type="dxa" w:w="168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Что объясняет</w:t>
            </w:r>
          </w:p>
        </w:tc>
        <w:tc>
          <w:tcPr>
            <w:tcW w:type="dxa" w:w="168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Ограничения применительно к санкциям</w:t>
            </w:r>
          </w:p>
        </w:tc>
        <w:tc>
          <w:tcPr>
            <w:tcW w:type="dxa" w:w="1123"/>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Роль в диссертации</w:t>
            </w:r>
          </w:p>
        </w:tc>
      </w:tr>
      <w:tr>
        <w:tc>
          <w:tcPr>
            <w:tcW w:type="dxa" w:w="140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Ресурсный подход (RBV)</w:t>
            </w:r>
          </w:p>
        </w:tc>
        <w:tc>
          <w:tcPr>
            <w:tcW w:type="dxa" w:w="159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Wernerfelt (1984); Barney (1991)</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Устойчивое преимущество через ценные, редкие, невоспроизводимые ресурсы</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Почему определённая ресурсная конфигурация даёт преимущество</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Статичен; не объясняет механизм реконфигурации при дискретном шоке</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Вспомогательная</w:t>
            </w:r>
          </w:p>
        </w:tc>
      </w:tr>
      <w:tr>
        <w:tc>
          <w:tcPr>
            <w:tcW w:type="dxa" w:w="140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Динамические способности</w:t>
            </w:r>
          </w:p>
        </w:tc>
        <w:tc>
          <w:tcPr>
            <w:tcW w:type="dxa" w:w="159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Teece, Pisano, Shuen (1997); Teece (2007)</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Sensing — seizing — transforming</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Как фирма целенаправленно перестраивает бизнес-модель в ответ на шок</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Разработана для шоков общего характера, не для санкций специфически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Основная</w:t>
            </w:r>
          </w:p>
        </w:tc>
      </w:tr>
      <w:tr>
        <w:tc>
          <w:tcPr>
            <w:tcW w:type="dxa" w:w="140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Организационная резильентность</w:t>
            </w:r>
          </w:p>
        </w:tc>
        <w:tc>
          <w:tcPr>
            <w:tcW w:type="dxa" w:w="159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Duchek (2020)</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Предвосхищение — преодоление — адаптация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Способность сохранять функциональность и восстанавливаться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Акцент на выживании, а не на направлении структурной трансформации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Вспомогательная</w:t>
            </w:r>
          </w:p>
        </w:tc>
      </w:tr>
      <w:tr>
        <w:tc>
          <w:tcPr>
            <w:tcW w:type="dxa" w:w="140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Стратегическая гибкость</w:t>
            </w:r>
          </w:p>
        </w:tc>
        <w:tc>
          <w:tcPr>
            <w:tcW w:type="dxa" w:w="159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Sanchez (1995)</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Гибкость ресурсов и их координации</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Скорость и диапазон возможной реконфигурации</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формулирует целостного перехода «шок → трансформация БМ»</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Вспомогательная</w:t>
            </w:r>
          </w:p>
        </w:tc>
      </w:tr>
      <w:tr>
        <w:tc>
          <w:tcPr>
            <w:tcW w:type="dxa" w:w="140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Абсорбционная способность</w:t>
            </w:r>
          </w:p>
        </w:tc>
        <w:tc>
          <w:tcPr>
            <w:tcW w:type="dxa" w:w="159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Cohen, Levinthal (1990)</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Распознавание, усвоение и применение нового знания</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Способность осваивать замещающие технологии</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Объясняет только технологический блок бизнес-модели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Вспомогательная</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Все пять традиций отвечают на вопрос о том, почему компании реагируют на внешний шок неодинаково, и в этом смысле каждая по-своему объясняет наблюдаемую неоднородность реакции — центральный эмпирический факт, обосновывающий саму возможность эконометрического анализа: без вариации в зависимой переменной причинная оценка невозможна. Однако для целей настоящего исследования существен более узкий вопрос, зафиксированный выше в качестве второго критерия отбора: какая из пяти теоретических конструкций позволяет перейти от общего понятия адаптации к измеримой трансформации именно бизнес-модели? Ресурсный подход, теория резильентности, теория стратегической гибкости и теория абсорбционной способности данного перехода не совершают — они объясняют предпосылки, скорость или устойчивость адаптации, но не задают её содержательного результата в терминах структурных элементов бизнес-модели. Теория динамических способностей — единственная среди пяти традиций, в которой микрооснóва seizing определена именно как реконфигурация бизнес-модели, что делает её единственной теорией, удовлетворяющей всем трём критериям отбора одновременно и обеспечивающей содержательный, а не только описательный переход от шока к измеримому объекту настоящего исследования.</w:t>
      </w:r>
    </w:p>
    <w:p>
      <w:pPr>
        <w:spacing w:after="160" w:before="0" w:line="360" w:lineRule="auto"/>
        <w:ind w:firstLine="709"/>
        <w:jc w:val="both"/>
      </w:pPr>
      <w:r>
        <w:rPr>
          <w:rFonts w:ascii="Times New Roman" w:cs="Times New Roman" w:eastAsia="Times New Roman" w:hAnsi="Times New Roman"/>
          <w:sz w:val="28"/>
          <w:szCs w:val="28"/>
        </w:rPr>
        <w:t xml:space="preserve">Вместе с тем необходимо зафиксировать существенную оговорку, определяющую дальнейшую логику главы: сама по себе теория динамических способностей, при всей её объяснительной силе, не содержит готовой процедуры измерения — она задаёт теоретический механизм («seizing реализуется через реконфигурацию бизнес-модели»), но не отвечает на вопрос о том, как данную реконфигурацию зафиксировать количественно, статистически сопоставить между компаниями и причинно связать с интенсивностью внешнего шока. Дополнительная оговорка касается специфики санкционного шока: теория динамических способностей была сформулирована и получила эмпирическую разработку применительно к шокам общего технологического, рыночного и пандемийного характера, тогда как санкционный шок обладает установленными в разделе 1.1 отличительными чертами — дискретностью, юридической оформленностью и многокомпонентной, дифференцированной по фирмам природой воздействия. Перенос теоретической рамки динамических способностей на данный специфический класс внешнего воздействия составляет не техническое применение готовой теории, а самостоятельную задачу: механизм sensing применительно к санкционному шоку означает распознавание компанией масштаба утраты доступа к ресурсам, рынкам и капиталу; механизм seizing — принятие решений о реконфигурации ценностного предложения, партнёрской сети и структуры доходов; механизм transforming — фактическое изменение организационных активов, наблюдаемое в отчётности компании. Переход от данного теоретического механизма к измерительной процедуре требует обращения к самостоятельному массиву литературы — исследованиям бизнес-модели как операционализируемого конструкта, рассматриваемым в следующем разделе. Именно данная последовательность и составляет содержательный переход настоящего раздела: от шока — к адаптации, от адаптации — к реконфигурации ресурсов и деятельности, направление которой ещё предстоит определить содержательно.</w:t>
      </w:r>
    </w:p>
    <w:p>
      <w:pPr>
        <w:pStyle w:val="Heading2"/>
        <w:spacing w:after="200" w:before="360" w:line="360" w:lineRule="auto"/>
        <w:jc w:val="left"/>
      </w:pPr>
      <w:r>
        <w:rPr>
          <w:rFonts w:ascii="Times New Roman" w:cs="Times New Roman" w:eastAsia="Times New Roman" w:hAnsi="Times New Roman"/>
          <w:b/>
          <w:bCs/>
          <w:sz w:val="28"/>
          <w:szCs w:val="28"/>
        </w:rPr>
        <w:t xml:space="preserve">1.3. Бизнес-модель как объект трансформации</w:t>
      </w:r>
    </w:p>
    <w:p>
      <w:pPr>
        <w:spacing w:after="160" w:before="0" w:line="360" w:lineRule="auto"/>
        <w:ind w:firstLine="709"/>
        <w:jc w:val="both"/>
      </w:pPr>
      <w:r>
        <w:rPr>
          <w:rFonts w:ascii="Times New Roman" w:cs="Times New Roman" w:eastAsia="Times New Roman" w:hAnsi="Times New Roman"/>
          <w:sz w:val="28"/>
          <w:szCs w:val="28"/>
        </w:rPr>
        <w:t xml:space="preserve">Установленная в разделе 1.2 необходимость обращения к понятию бизнес-модели как содержательному результату механизма seizing требует последовательного решения нескольких понятийных задач: определить сам конструкт, разграничить его со смежным понятием стратегии, определить, что означает его трансформация, установить состав образующих его структурных элементов и объяснить их взаимозависимость, — с тем чтобы в конце раздела получить обоснованный ответ на вопрос о необходимой степени детализации измерения.</w:t>
      </w:r>
    </w:p>
    <w:p>
      <w:pPr>
        <w:spacing w:after="160" w:before="0" w:line="360" w:lineRule="auto"/>
        <w:ind w:firstLine="709"/>
        <w:jc w:val="both"/>
      </w:pPr>
      <w:r>
        <w:rPr>
          <w:rFonts w:ascii="Times New Roman" w:cs="Times New Roman" w:eastAsia="Times New Roman" w:hAnsi="Times New Roman"/>
          <w:sz w:val="28"/>
          <w:szCs w:val="28"/>
        </w:rPr>
        <w:t xml:space="preserve">Понятие бизнес-модели вошло в широкий научный оборот позднее большинства смежных категорий стратегического менеджмента, и его теоретическое содержание вплоть до настоящего времени остаётся предметом методологической дискуссии: систематический обзор литературы, охвативший более 150 рецензируемых публикаций за пятнадцатилетний период, констатирует отсутствие единого общепринятого определения при одновременном устойчивом росте числа исследований, использующих данный конструкт как самостоятельную единицу анализа (Foss, Saebi, 2017). Подобная понятийная неоднородность требует не простого перечисления определений, а последовательного сопоставления подходов и обоснованного выбора трактовки, пригодной для целей настоящего исследования.</w:t>
      </w:r>
    </w:p>
    <w:p>
      <w:pPr>
        <w:spacing w:after="160" w:before="0" w:line="360" w:lineRule="auto"/>
        <w:ind w:firstLine="709"/>
        <w:jc w:val="both"/>
      </w:pPr>
      <w:r>
        <w:rPr>
          <w:rFonts w:ascii="Times New Roman" w:cs="Times New Roman" w:eastAsia="Times New Roman" w:hAnsi="Times New Roman"/>
          <w:sz w:val="28"/>
          <w:szCs w:val="28"/>
        </w:rPr>
        <w:t xml:space="preserve">Первый из сложившихся подходов трактует бизнес-модель как логику создания, доставки и присвоения ценности организацией. Наиболее последовательное воплощение данный подход получил в работе Остервальдера и Пинье, операционализирующих данную логику через девять структурных блоков — потребительские сегменты, ценностные предложения, каналы, взаимоотношения с клиентами, потоки доходов, ключевые ресурсы, ключевые виды деятельности, ключевые партнёрства и структуру издержек (Osterwalder, Pigneur, 2010). Существенным достоинством данного подхода выступает его высокая операциональность: каждый из девяти блоков поддаётся, в принципе, самостоятельному наблюдению и измерению, что образует необходимую предпосылку для количественной операционализации.</w:t>
      </w:r>
    </w:p>
    <w:p>
      <w:pPr>
        <w:spacing w:after="160" w:before="0" w:line="360" w:lineRule="auto"/>
        <w:ind w:firstLine="709"/>
        <w:jc w:val="both"/>
      </w:pPr>
      <w:r>
        <w:rPr>
          <w:rFonts w:ascii="Times New Roman" w:cs="Times New Roman" w:eastAsia="Times New Roman" w:hAnsi="Times New Roman"/>
          <w:sz w:val="28"/>
          <w:szCs w:val="28"/>
        </w:rPr>
        <w:t xml:space="preserve">Второй подход трактует бизнес-модель не как статичную логику, а как систему взаимозависимых видов деятельности, выходящую за пределы границ отдельной фирмы: Зотт, Амит и Масса определяют бизнес-модель как систему взаимозависимых видов деятельности, которая выходит за пределы фирмы и охватывает её внешние границы, подчёркивая, что бизнес-модель как единица анализа принципиально отлична от продукта, отрасли или отдельной фирмы (Zott, Amit, Massa, 2011). Данный подход методологически значим тем, что явно постулирует системность бизнес-модели: изменение одного элемента системы взаимодействий с высокой вероятностью сопряжено с изменениями в других её элементах, что образует теоретическое основание для трактовки трансформации бизнес-модели как составного, а не единичного феномена.</w:t>
      </w:r>
    </w:p>
    <w:p>
      <w:pPr>
        <w:spacing w:after="160" w:before="0" w:line="360" w:lineRule="auto"/>
        <w:ind w:firstLine="709"/>
        <w:jc w:val="both"/>
      </w:pPr>
      <w:r>
        <w:rPr>
          <w:rFonts w:ascii="Times New Roman" w:cs="Times New Roman" w:eastAsia="Times New Roman" w:hAnsi="Times New Roman"/>
          <w:sz w:val="28"/>
          <w:szCs w:val="28"/>
        </w:rPr>
        <w:t xml:space="preserve">Третий подход рассматривает бизнес-модель как отражение реализованной, а не декларируемой стратегии компании и тем самым задаёт необходимое разграничение бизнес-модели и стратегии: Касадесус-Масанель и Рикарт определяют бизнес-модель как логику функционирования фирмы «как она есть», а стратегию — как совокупность возможных альтернативных бизнес-моделей, из которых менеджмент осуществляет выбор в конкурентной среде (Casadesus-Masanell, Ricart, 2010). Практическое значение данного разграничения для настоящего исследования состоит в методологическом указании на источник данных: изучению подлежит то, что зафиксировано в финансовой отчётности и фактическом раскрытии информации компанией, а не то, что декларируется в стратегических презентациях менеджмента.</w:t>
      </w:r>
    </w:p>
    <w:p>
      <w:pPr>
        <w:spacing w:after="160" w:before="0" w:line="360" w:lineRule="auto"/>
        <w:ind w:firstLine="709"/>
        <w:jc w:val="both"/>
      </w:pPr>
      <w:r>
        <w:rPr>
          <w:rFonts w:ascii="Times New Roman" w:cs="Times New Roman" w:eastAsia="Times New Roman" w:hAnsi="Times New Roman"/>
          <w:sz w:val="28"/>
          <w:szCs w:val="28"/>
        </w:rPr>
        <w:t xml:space="preserve">Четвёртый подход трактует бизнес-модель как динамическую конфигурацию, способную и вынужденную изменяться под воздействием внешней среды, и тем самым непосредственно определяет содержание её трансформации: Тис связывает бизнес-модель с логикой, данными и свидетельствами, обосновывающими ценностное предложение для клиента и жизнеспособную структуру доходов и издержек фирмы, и напрямую увязывает способность к пересмотру данной логики со способностью компании к динамической адаптации (Teece, 2010) — понятийный мост к теоретической рамке, обоснованной в разделе 1.2. Трансформация бизнес-модели, соответственно, определяется в настоящем исследовании как измеримое изменение конфигурации системы её структурных элементов, отличное по своей природе от изменения результативных финансовых показателей компании.</w:t>
      </w:r>
    </w:p>
    <w:p>
      <w:pPr>
        <w:spacing w:after="120" w:before="240"/>
        <w:jc w:val="left"/>
      </w:pPr>
      <w:r>
        <w:rPr>
          <w:rFonts w:ascii="Times New Roman" w:cs="Times New Roman" w:eastAsia="Times New Roman" w:hAnsi="Times New Roman"/>
          <w:sz w:val="28"/>
          <w:szCs w:val="28"/>
        </w:rPr>
        <w:t xml:space="preserve">Таблица 1.2 — Подходы к определению бизнес-модели</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497"/>
        <w:gridCol w:w="3181"/>
        <w:gridCol w:w="2807"/>
        <w:gridCol w:w="1871"/>
      </w:tblGrid>
      <w:tr>
        <w:trPr>
          <w:tblHeader/>
        </w:trPr>
        <w:tc>
          <w:tcPr>
            <w:tcW w:type="dxa" w:w="149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Автор</w:t>
            </w:r>
          </w:p>
        </w:tc>
        <w:tc>
          <w:tcPr>
            <w:tcW w:type="dxa" w:w="318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Подход</w:t>
            </w:r>
          </w:p>
        </w:tc>
        <w:tc>
          <w:tcPr>
            <w:tcW w:type="dxa" w:w="280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Основной акцент</w:t>
            </w:r>
          </w:p>
        </w:tc>
        <w:tc>
          <w:tcPr>
            <w:tcW w:type="dxa" w:w="187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Возможность количественной оценки трансформации</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Osterwalder, Pigneur (2010)</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Логика создания, доставки и присвоения ценности; девять структурных блоков</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Операциональная декомпозиция</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Высокая — каждый блок наблюдаем самостоятельно</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Zott, Amit, Massa (2011)</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Система взаимозависимых видов деятельности, выходящая за границы фирмы</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Системность бизнес-модели</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Средняя — обосновывает составной индекс</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Casadesus-Masanell, Ricart (2010)</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Отражение реализованной, а не декларируемой стратегии</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Разграничение бизнес-модели и стратегии; источник данных — отчётность</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Средняя — задаёт эмпирическую базу измерения</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Teece (2010)</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Логика ценностного предложения, связанная со способностью к пересмотру</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Динамическая природа БМ; содержание трансформации</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Средняя — акцент на изменяемости</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Foss, Saebi (2017)</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Систематизация 150 работ 2000–2015 гг.</w:t>
            </w:r>
          </w:p>
        </w:tc>
        <w:tc>
          <w:tcPr>
            <w:tcW w:type="dxa" w:w="280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Понятийная неоднородность поля</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применимо (обзорная работа)</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Сопоставление четырёх подходов показывает, что они не являются взаимоисключающими, а фиксируют различные аспекты одного и того же конструкта: операциональную структуру, системный характер, разграничение с декларируемой стратегией и динамическую изменяемость. Рабочее определение, синтезирующее данные акценты, принимается следующим: бизнес-модель компании есть логика создания, доставки и присвоения ценности, воплощённая в системе из девяти взаимозависимых структурных элементов, отражённая в финансовой и корпоративной отчётности компании и способная к динамической реконфигурации под воздействием внешней среды. Данное определение задаёт одновременно единицу наблюдения, принцип агрегирования (системность, требующая составного, а не единичного индекса) и источник эмпирических данных.</w:t>
      </w:r>
    </w:p>
    <w:p>
      <w:pPr>
        <w:spacing w:after="160" w:before="0" w:line="360" w:lineRule="auto"/>
        <w:ind w:firstLine="709"/>
        <w:jc w:val="both"/>
      </w:pPr>
      <w:r>
        <w:rPr>
          <w:rFonts w:ascii="Times New Roman" w:cs="Times New Roman" w:eastAsia="Times New Roman" w:hAnsi="Times New Roman"/>
          <w:sz w:val="28"/>
          <w:szCs w:val="28"/>
        </w:rPr>
        <w:t xml:space="preserve">Синтетическое определение уже указывает на центральную методологическую проблему, требующую отдельного обоснования: соотношение между бизнес-моделью как многомерной системой и финансовыми показателями компании как её частичным, но не исчерпывающим отражением. Финансовые показатели — выручка, прибыль, рентабельность активов, рыночная капитализация — фиксируют результат хозяйственной деятельности компании, но не раскрывают способ, посредством которого этот результат достигнут. Две компании способны продемонстрировать сопоставимую динамику выручки при принципиально различных траекториях структурной адаптации: одна — посредством глубокой перестройки продуктового портфеля, партнёрской сети и структуры доходов, другая — посредством простого сокращения масштаба деятельности при сохранении прежней логики создания ценности. Отождествление данных двух траекторий на основании сходства финансового результата означало бы утрату содержательного различия между результатом деятельности компании и изменением способа создания, доставки и присвоения ценности — различия, прямо вытекающего из системной трактовки бизнес-модели. Обратное несоответствие столь же значимо: компания способна продемонстрировать существенное ухудшение финансовых показателей вследствие санкционного шока при минимальном изменении собственно бизнес-модели, если издержки адаптации превышают её финансовые возможности либо если ухудшение результативности вызвано общими макроэкономическими факторами. Различение подобных ситуаций возможно только при обращении к показателям, непосредственно отражающим структурные элементы бизнес-модели, а не к их агрегированному финансовому следствию.</w:t>
      </w:r>
    </w:p>
    <w:p>
      <w:pPr>
        <w:spacing w:after="160" w:before="0" w:line="360" w:lineRule="auto"/>
        <w:ind w:firstLine="709"/>
        <w:jc w:val="both"/>
      </w:pPr>
      <w:r>
        <w:rPr>
          <w:rFonts w:ascii="Times New Roman" w:cs="Times New Roman" w:eastAsia="Times New Roman" w:hAnsi="Times New Roman"/>
          <w:sz w:val="28"/>
          <w:szCs w:val="28"/>
        </w:rPr>
        <w:t xml:space="preserve">Методологическим следствием изложенного выступает необходимость многомерной операционализации трансформации бизнес-модели, учитывающей изменение по каждому из девяти структурных элементов с последующим агрегированием в составной индекс, а не редукции задачи к анализу единственного финансового показателя: бизнес-модель является более содержательным объектом анализа адаптации, чем отдельные финансовые показатели. Финансовые показатели при этом сохраняют значение в разрабатываемой методике, но выступают компонентами операционализации отдельных структурных блоков — в частности, структуры доходов и структуры издержек, — либо контрольными переменными, не подменяя собой зависимую переменную исследования в целом. Установив содержание конструкта, необходимо перейти к вопросу, симметричному отраслевой части общей логики главы: почему именно IT-отрасль образует наиболее информативное эмпирическое поле для наблюдения подобной трансформации.</w:t>
      </w:r>
    </w:p>
    <w:p>
      <w:pPr>
        <w:pStyle w:val="Heading2"/>
        <w:spacing w:after="200" w:before="360" w:line="360" w:lineRule="auto"/>
        <w:jc w:val="left"/>
      </w:pPr>
      <w:r>
        <w:rPr>
          <w:rFonts w:ascii="Times New Roman" w:cs="Times New Roman" w:eastAsia="Times New Roman" w:hAnsi="Times New Roman"/>
          <w:b/>
          <w:bCs/>
          <w:sz w:val="28"/>
          <w:szCs w:val="28"/>
        </w:rPr>
        <w:t xml:space="preserve">1.4. IT-отрасль и российский контекст</w:t>
      </w:r>
    </w:p>
    <w:p>
      <w:pPr>
        <w:spacing w:after="160" w:before="0" w:line="360" w:lineRule="auto"/>
        <w:ind w:firstLine="709"/>
        <w:jc w:val="both"/>
      </w:pPr>
      <w:r>
        <w:rPr>
          <w:rFonts w:ascii="Times New Roman" w:cs="Times New Roman" w:eastAsia="Times New Roman" w:hAnsi="Times New Roman"/>
          <w:sz w:val="28"/>
          <w:szCs w:val="28"/>
        </w:rPr>
        <w:t xml:space="preserve">Установленный в разделах 1.1–1.3 дефицит методического инструментария носит общий характер и в равной мере затрагивает анализ любой отрасли. Настоящий раздел не преследует цели дать историческую справку о развитии российской IT-отрасли или санкционных режимов — эти сведения приведены лишь в объёме, необходимом для ответа на один вопрос: почему именно IT-компания является специфическим объектом, обоснованным для разработки и последующей апробации искомой методики, а не произвольно выбранным эмпирическим полем.</w:t>
      </w:r>
    </w:p>
    <w:p>
      <w:pPr>
        <w:spacing w:after="160" w:before="0" w:line="360" w:lineRule="auto"/>
        <w:ind w:firstLine="709"/>
        <w:jc w:val="both"/>
      </w:pPr>
      <w:r>
        <w:rPr>
          <w:rFonts w:ascii="Times New Roman" w:cs="Times New Roman" w:eastAsia="Times New Roman" w:hAnsi="Times New Roman"/>
          <w:sz w:val="28"/>
          <w:szCs w:val="28"/>
        </w:rPr>
        <w:t xml:space="preserve">IT-компания определяется в настоящем исследовании как хозяйствующий субъект, основным видом деятельности которого выступает разработка, интеграция, поддержка или предоставление программного обеспечения, информационных систем и связанных с ними технологических услуг; IT-отрасль — как совокупность подобных субъектов, объединённых общностью технологической базы, рынков сбыта и регуляторной среды, что соответствует практике классификации, используемой Реестром аккредитованных IT-организаций Министерства цифрового развития Российской Федерации, объединяющим более 25 000 организаций.</w:t>
      </w:r>
    </w:p>
    <w:p>
      <w:pPr>
        <w:spacing w:after="160" w:before="0" w:line="360" w:lineRule="auto"/>
        <w:ind w:firstLine="709"/>
        <w:jc w:val="both"/>
      </w:pPr>
      <w:r>
        <w:rPr>
          <w:rFonts w:ascii="Times New Roman" w:cs="Times New Roman" w:eastAsia="Times New Roman" w:hAnsi="Times New Roman"/>
          <w:sz w:val="28"/>
          <w:szCs w:val="28"/>
        </w:rPr>
        <w:t xml:space="preserve">Отрасль характеризуется сочетанием черт, которое структурно предрасполагает её к многоканальной, а не одноканальной реакции на санкционный шок: высокой зависимостью от зарубежного лицензионного программного обеспечения, платформ разработки и облачной инфраструктуры; зависимостью от импортируемых аппаратных компонентов, включая полупроводники; высокой ролью человеческого капитала и расходов на исследования и разработки; интенсивными международными партнёрскими связями и зависимостью от международных платёжных систем. В отличие от отраслей, где санкционное воздействие реализуется преимущественно через единственный канал, воздействие на IT-компанию распространяется последовательно по цепочке взаимосвязанных структурных элементов — от ключевых ресурсов и партнёрской сети через продуктовый портфель к географии и структуре рынков сбыта, составу клиентской базы, каналам продаж и, в конечном счёте, структуре доходной модели. Данная многоканальность образует эмпирическое основание требования к многомерности измерения, установленного теоретически в разделе 1.3: если бы воздействие санкций реализовывалось через единственный канал, одномерного финансового индикатора могло бы оказаться достаточно; многоканальная природа воздействия делает подобную редукцию содержательно неадекватной.</w:t>
      </w:r>
    </w:p>
    <w:p>
      <w:pPr>
        <w:spacing w:after="160" w:before="0" w:line="360" w:lineRule="auto"/>
        <w:ind w:firstLine="709"/>
        <w:jc w:val="both"/>
      </w:pPr>
      <w:r>
        <w:rPr>
          <w:rFonts w:ascii="Times New Roman" w:cs="Times New Roman" w:eastAsia="Times New Roman" w:hAnsi="Times New Roman"/>
          <w:sz w:val="28"/>
          <w:szCs w:val="28"/>
        </w:rPr>
        <w:t xml:space="preserve">Дополнительным основанием выступает наблюдаемая неоднородность реакции компаний отрасли: уход значительной части западных поставщиков программного обеспечения и облачных сервисов затронул различные сегменты отрасли неодинаково — компании, преимущественно осуществлявшие интеграцию зарубежных решений, столкнулись с прямой утратой продуктовой базы, тогда как компании, специализирующиеся на разработке отечественных решений, в том числе в области кибербезопасности, получили возможность расширения рыночной доли за счёт сегментов, освобождённых уходом иностранных конкурентов. Данная неоднородность образует необходимую для эконометрического анализа вариацию зависимой переменной, без которой содержательная причинная идентификация невозможна.</w:t>
      </w:r>
    </w:p>
    <w:p>
      <w:pPr>
        <w:spacing w:after="160" w:before="0" w:line="360" w:lineRule="auto"/>
        <w:ind w:firstLine="709"/>
        <w:jc w:val="both"/>
      </w:pPr>
      <w:r>
        <w:rPr>
          <w:rFonts w:ascii="Times New Roman" w:cs="Times New Roman" w:eastAsia="Times New Roman" w:hAnsi="Times New Roman"/>
          <w:sz w:val="28"/>
          <w:szCs w:val="28"/>
        </w:rPr>
        <w:t xml:space="preserve">Российский контекст санкционного воздействия на IT-отрасль не сводится к единичному событию, а представляет собой последовательность двух качественно различных эпизодов. Санкционный режим, введённый начиная с 2014 г., затронул преимущественно финансовый и энергетический секторы и лишь ограниченно — технологическую сферу; его основным следствием для отрасли стал первичный институциональный импульс к политике импортозамещения, носившей на данном этапе точечный характер. Санкционный режим, введённый начиная с 2022 г., отличается качественно: массовый технологический экспортный контроль, добровольный уход западных технологических компаний с российского рынка и системный государственный ответ — требования об обязательном переходе объектов критической информационной инфраструктуры на отечественное программное обеспечение, формирование индустриальных центров компетенций, расширение налоговых льгот и программ льготного кредитования. Систематизация адаптационных стратегий российских компаний к данному эпизоду показывает, что диапазон применяемых стратегий существенно различался по отраслям и по исходному уровню технологической зависимости фирм от западных решений (Kuzyk, Simachev, 2023). Государственная политика поддержки при этом действует в том же направлении и зачастую одновременно с санкционным шоком, что образует методологический вызов, требующий отдельного решения в рамках разрабатываемой методики: наблюдаемая трансформация бизнес-модели представляет собой совокупный результат санкционного давления и эндогенного по отношению к нему политического ответа, что необходимо будет явно учитывать при интерпретации причинных оценок.</w:t>
      </w:r>
    </w:p>
    <w:p>
      <w:pPr>
        <w:spacing w:after="160" w:before="0" w:line="360" w:lineRule="auto"/>
        <w:ind w:firstLine="709"/>
        <w:jc w:val="both"/>
      </w:pPr>
      <w:r>
        <w:rPr>
          <w:rFonts w:ascii="Times New Roman" w:cs="Times New Roman" w:eastAsia="Times New Roman" w:hAnsi="Times New Roman"/>
          <w:sz w:val="28"/>
          <w:szCs w:val="28"/>
        </w:rPr>
        <w:t xml:space="preserve">Достаточна ли совокупность рассмотренных содержательных характеристик IT-отрасли и российского контекста для того, чтобы существующий методический инструментарий мог быть применён к решению задачи настоящего исследования без дополнительной разработки? Нет: отраслевая специфика и специфика российского контекста не устраняют, а, напротив, обостряют дефицит, установленный в разделах 1.1–1.3, — многоканальность и неоднородность воздействия требуют именно того многомерного, причинно идентифицируемого измерительного инструментария, который в существующей литературе отсутствует в готовом виде. Ответ на вопрос, поставленный в начале настоящего раздела, тем самым получен: IT-отрасль является специфическим объектом для разработки искомой методики именно потому, что она одновременно максимизирует наблюдаемую вариацию воздействия и требует многомерного измерения отклика, — сочетание, которое отраслевая специфика делает не факультативным, а необходимым условием содержательного анализа. Формальное обобщение данного дефицита в виде систематизированного анализа методического инструментария и вытекающих из него требований к разрабатываемой методике составляет содержание следующих двух разделов настоящей главы.</w:t>
      </w:r>
    </w:p>
    <w:p>
      <w:pPr>
        <w:pStyle w:val="Heading2"/>
        <w:spacing w:after="200" w:before="360" w:line="360" w:lineRule="auto"/>
        <w:jc w:val="left"/>
      </w:pPr>
      <w:r>
        <w:rPr>
          <w:rFonts w:ascii="Times New Roman" w:cs="Times New Roman" w:eastAsia="Times New Roman" w:hAnsi="Times New Roman"/>
          <w:b/>
          <w:bCs/>
          <w:sz w:val="28"/>
          <w:szCs w:val="28"/>
        </w:rPr>
        <w:t xml:space="preserve">1.5. Существующие подходы к измерению и оценке</w:t>
      </w:r>
    </w:p>
    <w:p>
      <w:pPr>
        <w:spacing w:after="160" w:before="0" w:line="360" w:lineRule="auto"/>
        <w:ind w:firstLine="709"/>
        <w:jc w:val="both"/>
      </w:pPr>
      <w:r>
        <w:rPr>
          <w:rFonts w:ascii="Times New Roman" w:cs="Times New Roman" w:eastAsia="Times New Roman" w:hAnsi="Times New Roman"/>
          <w:sz w:val="28"/>
          <w:szCs w:val="28"/>
        </w:rPr>
        <w:t xml:space="preserve">Разделы 1.1–1.4 установили дефицит на уровне теории и предмета: ни один из рассмотренных содержательных подходов не даёт готовой операционализации трансформации бизнес-модели под воздействием санкционного шока. Настоящий раздел образует мост от теории к методике: его задача — систематически показать, что уже существует в измерительном и эконометрическом инструментарии и почему этого недостаточно, не разрабатывая при этом ни одного элемента будущей методики — данная разработка составляет содержание второй главы диссертации.</w:t>
      </w:r>
    </w:p>
    <w:p>
      <w:pPr>
        <w:pStyle w:val="Heading3"/>
        <w:spacing w:after="160" w:before="260" w:line="360" w:lineRule="auto"/>
        <w:jc w:val="left"/>
      </w:pPr>
      <w:r>
        <w:rPr>
          <w:rFonts w:ascii="Times New Roman" w:cs="Times New Roman" w:eastAsia="Times New Roman" w:hAnsi="Times New Roman"/>
          <w:b/>
          <w:bCs/>
          <w:i/>
          <w:iCs/>
          <w:sz w:val="26"/>
          <w:szCs w:val="26"/>
        </w:rPr>
        <w:t xml:space="preserve">1.5.1. Измерение санкционной экспозиции</w:t>
      </w:r>
    </w:p>
    <w:p>
      <w:pPr>
        <w:spacing w:after="160" w:before="0" w:line="360" w:lineRule="auto"/>
        <w:ind w:firstLine="709"/>
        <w:jc w:val="both"/>
      </w:pPr>
      <w:r>
        <w:rPr>
          <w:rFonts w:ascii="Times New Roman" w:cs="Times New Roman" w:eastAsia="Times New Roman" w:hAnsi="Times New Roman"/>
          <w:sz w:val="28"/>
          <w:szCs w:val="28"/>
        </w:rPr>
        <w:t xml:space="preserve">Установленное в разделе 1.1.2 понятие санкционной экспозиции компании получило в существующей литературе ограниченное число прямых измерительных прецедентов. Крозе и Хинц операционализировали воздействие санкций и контрсанкций 2014 г. на уровне отдельных товарных потоков методом синтетического контроля, конструируя контрфактическую траекторию для затронутых товарных партий (Crozet, Hinz, 2020) — подход, содержательно родственный логике инструментов типа «shift-share», связывающих агрегированный шок с предшоковой структурной характеристикой единицы наблюдения (Goldsmith-Pinkham, Sorkin, Swift, 2020). Добрынина и Гришунин напрямую построили авторский индекс санкционного давления для 58 российских нефинансовых компаний и оценили его влияние на финансовую результативность и кредитоспособность (Dobrynina, Grishunin, 2025), продемонстрировав принципиальную возможность построения подобного индекса на уровне отдельной фирмы. Общей чертой рассмотренных измерительных прецедентов, однако, выступает то, что ни один из них не операционализирует экспозицию как предопределённую, зафиксированную до наступления шока характеристику в смысле, установленном в разделе 1.1.2, и ни один не строится на многокомпонентной основе, одновременно охватывающей технологический, рыночный и финансовый каналы воздействия, — оба свойства, установленные как необходимые в разделе 1.1, но не реализованные в рассмотренных прецедентах одновременно.</w:t>
      </w:r>
    </w:p>
    <w:p>
      <w:pPr>
        <w:pStyle w:val="Heading3"/>
        <w:spacing w:after="160" w:before="260" w:line="360" w:lineRule="auto"/>
        <w:jc w:val="left"/>
      </w:pPr>
      <w:r>
        <w:rPr>
          <w:rFonts w:ascii="Times New Roman" w:cs="Times New Roman" w:eastAsia="Times New Roman" w:hAnsi="Times New Roman"/>
          <w:b/>
          <w:bCs/>
          <w:i/>
          <w:iCs/>
          <w:sz w:val="26"/>
          <w:szCs w:val="26"/>
        </w:rPr>
        <w:t xml:space="preserve">1.5.2. Измерение трансформации бизнес-модели</w:t>
      </w:r>
    </w:p>
    <w:p>
      <w:pPr>
        <w:spacing w:after="160" w:before="0" w:line="360" w:lineRule="auto"/>
        <w:ind w:firstLine="709"/>
        <w:jc w:val="both"/>
      </w:pPr>
      <w:r>
        <w:rPr>
          <w:rFonts w:ascii="Times New Roman" w:cs="Times New Roman" w:eastAsia="Times New Roman" w:hAnsi="Times New Roman"/>
          <w:sz w:val="28"/>
          <w:szCs w:val="28"/>
        </w:rPr>
        <w:t xml:space="preserve">Вопрос о том, как именно существующие исследования измеряют трансформацию бизнес-модели количественно, имеет решающее значение для дальнейшей логики главы. Систематическое рассмотрение показывает, что в литературе сложилось не менее семи различающихся подходов к измерению, ни один из которых не совпадает по строгости операционализации с эконометрическим инструментарием, применяемым к финансовым показателям во втором направлении литературы о санкциях (раздел 1.1.4).</w:t>
      </w:r>
    </w:p>
    <w:p>
      <w:pPr>
        <w:spacing w:after="160" w:before="0" w:line="360" w:lineRule="auto"/>
        <w:ind w:firstLine="709"/>
        <w:jc w:val="both"/>
      </w:pPr>
      <w:r>
        <w:rPr>
          <w:rFonts w:ascii="Times New Roman" w:cs="Times New Roman" w:eastAsia="Times New Roman" w:hAnsi="Times New Roman"/>
          <w:sz w:val="28"/>
          <w:szCs w:val="28"/>
        </w:rPr>
        <w:t xml:space="preserve">Качественные кейс-исследования остаются наиболее распространённым способом фиксации трансформации бизнес-модели под воздействием дискретного внешнего шока: кросс-кейсовый анализ адаптации бизнес-моделей десяти испанских компаний креативных индустрий к пандемийному шоку 2020 г. зафиксировал различие траекторий трансформации в зависимости от исходной гибкости ресурсной конфигурации (Peñarroya-Farell, Miralles, 2022). Преимущество данного подхода — содержательная глубина; ограничение — принципиальная невозможность статистического обобщения на панель компаний. Канва бизнес-модели (Business Model Canvas) используется преимущественно как описательный, а не измерительный инструмент: девять структурных блоков, предложенных Остервальдером и Пинье (Osterwalder, Pigneur, 2010), задают удобную типологию для качественного описания элементов бизнес-модели, но в исходном виде не содержат процедуры количественного измерения степени изменения каждого блока.</w:t>
      </w:r>
    </w:p>
    <w:p>
      <w:pPr>
        <w:spacing w:after="160" w:before="0" w:line="360" w:lineRule="auto"/>
        <w:ind w:firstLine="709"/>
        <w:jc w:val="both"/>
      </w:pPr>
      <w:r>
        <w:rPr>
          <w:rFonts w:ascii="Times New Roman" w:cs="Times New Roman" w:eastAsia="Times New Roman" w:hAnsi="Times New Roman"/>
          <w:sz w:val="28"/>
          <w:szCs w:val="28"/>
        </w:rPr>
        <w:t xml:space="preserve">Композитные шкалы измерения инновации бизнес-модели образуют наиболее методологически развитый количественный подход: Клаусс разработал и валидировал трёхуровневую шкалу измерения инновации бизнес-модели на выборках из 126 и 232 фирм, продемонстрировав, что подобное измерение статистически связано с результативностью компании (Clauss, 2017). Данная работа доказывает принципиальную возможность строгой количественной операционализации, однако её шкала построена на опросных данных менеджмента, а не на публичной отчётности, что делает её неприменимой к панельному анализу на вторичных данных без дополнительной адаптации. Управленческие фреймворки резильентности бизнес-модели, в частности фреймворк, связывающий устойчивость бизнес-модели со структурой её элементов (Radic, Herrmann, Haberland, Riese, 2022), концептуально близки к задачам настоящего исследования, но остаются на уровне неоперационализированной количественно управленческой схемы.</w:t>
      </w:r>
    </w:p>
    <w:p>
      <w:pPr>
        <w:spacing w:after="160" w:before="0" w:line="360" w:lineRule="auto"/>
        <w:ind w:firstLine="709"/>
        <w:jc w:val="both"/>
      </w:pPr>
      <w:r>
        <w:rPr>
          <w:rFonts w:ascii="Times New Roman" w:cs="Times New Roman" w:eastAsia="Times New Roman" w:hAnsi="Times New Roman"/>
          <w:sz w:val="28"/>
          <w:szCs w:val="28"/>
        </w:rPr>
        <w:t xml:space="preserve">Финансовые показатели как косвенный индикатор (proxy) трансформации широко используются в рассмотренной в разделе 1.1.4 firm-level литературе о санкциях (Huynh, Hoang, Ongena, 2022; Dobrynina, Grishunin, 2025; Lee, Kumo, 2025): данный подход обеспечивает высокую строгость эконометрической оценки, но, как показано в разделе 1.3, систематически смешивает результат деятельности со способом его достижения. Текстовый анализ корпоративной отчётности образует развивающееся направление измерения: методологическое обоснование того, что текстовый анализ раскрывает информацию, не сводимую к табличным финансовым показателям, установлено применительно к тональности отчётности в целом (Loughran, McDonald, 2011), однако систематическое рассмотрение литературы не выявило работ, применяющих подобный анализ специфически к измерению трансформации структурных блоков бизнес-модели под воздействием внешнего шока. Патентные и продуктовые показатели используются как косвенный индикатор технологической составляющей трансформации: рост патентной активности как реакция на технологический экспортный контроль зафиксирован применительно к китайским компаниям (Lin, Zhang, Yang, Chen, 2025), однако подобный показатель охватывает лишь один структурный блок бизнес-модели. Показатели структуры выручки — географической и продуктовой сегментации, раскрываемой в отчётности по МСФО, — используются как частный индикатор в отдельных firm-level исследованиях, но, как и патентные показатели, охватывают лишь отдельный структурный блок, а не конфигурацию бизнес-модели в целом.</w:t>
      </w:r>
    </w:p>
    <w:p>
      <w:pPr>
        <w:spacing w:after="160" w:before="0" w:line="360" w:lineRule="auto"/>
        <w:ind w:firstLine="709"/>
        <w:jc w:val="both"/>
      </w:pPr>
      <w:r>
        <w:rPr>
          <w:rFonts w:ascii="Times New Roman" w:cs="Times New Roman" w:eastAsia="Times New Roman" w:hAnsi="Times New Roman"/>
          <w:sz w:val="28"/>
          <w:szCs w:val="28"/>
        </w:rPr>
        <w:t xml:space="preserve">Сопоставление семи рассмотренных подходов приводит к следующему обобщению: теоретическое понимание бизнес-модели как многомерного, системного конструкта разработано зрелым образом, и отдельные элементы измерительного инструментария — валидированные шкалы, управленческие фреймворки, текстовый и патентный анализ отдельных компонентов — также существуют. Однако количественная операционализация трансформации бизнес-модели в контексте воздействия конкретного, специфически санкционного внешнего шока на панельных данных публичной отчётности компаний, пригодная для последующей эконометрической причинной оценки, в рассмотренной совокупности литературы не выявлена: каждый из существующих измерительных подходов удовлетворяет лишь части требований, предъявляемых задачей настоящего исследования, — либо строгости измерения при узости охвата, либо широте охвата при отсутствии количественной строгости, либо количественной строгости при отсутствии применимости к вторичным панельным данным.</w:t>
      </w:r>
    </w:p>
    <w:p>
      <w:pPr>
        <w:pStyle w:val="Heading3"/>
        <w:spacing w:after="160" w:before="260" w:line="360" w:lineRule="auto"/>
        <w:jc w:val="left"/>
      </w:pPr>
      <w:r>
        <w:rPr>
          <w:rFonts w:ascii="Times New Roman" w:cs="Times New Roman" w:eastAsia="Times New Roman" w:hAnsi="Times New Roman"/>
          <w:b/>
          <w:bCs/>
          <w:i/>
          <w:iCs/>
          <w:sz w:val="26"/>
          <w:szCs w:val="26"/>
        </w:rPr>
        <w:t xml:space="preserve">1.5.3. Эконометрические методы оценки санкционных эффектов</w:t>
      </w:r>
    </w:p>
    <w:p>
      <w:pPr>
        <w:spacing w:after="160" w:before="0" w:line="360" w:lineRule="auto"/>
        <w:ind w:firstLine="709"/>
        <w:jc w:val="both"/>
      </w:pPr>
      <w:r>
        <w:rPr>
          <w:rFonts w:ascii="Times New Roman" w:cs="Times New Roman" w:eastAsia="Times New Roman" w:hAnsi="Times New Roman"/>
          <w:sz w:val="28"/>
          <w:szCs w:val="28"/>
        </w:rPr>
        <w:t xml:space="preserve">Экономическая наука располагает развитым набором эконометрических методов причинного анализа, однако для целей настоящего раздела существен не технический аппарат каждого метода — он подробно раскрывается во второй главе диссертации, — а то, какую конкретную исследовательскую задачу настоящей диссертации способен решить каждый метод и, соответственно, какую задачу ни один из них по отдельности не решает.</w:t>
      </w:r>
    </w:p>
    <w:p>
      <w:pPr>
        <w:spacing w:after="160" w:before="0" w:line="360" w:lineRule="auto"/>
        <w:ind w:firstLine="709"/>
        <w:jc w:val="both"/>
      </w:pPr>
      <w:r>
        <w:rPr>
          <w:rFonts w:ascii="Times New Roman" w:cs="Times New Roman" w:eastAsia="Times New Roman" w:hAnsi="Times New Roman"/>
          <w:sz w:val="28"/>
          <w:szCs w:val="28"/>
        </w:rPr>
        <w:t xml:space="preserve">Кросс-секционная регрессия позволяет оценить ассоциацию между санкционной экспозицией и исходом в отдельный момент времени, но не контролирует ненаблюдаемую гетерогенность компаний. Панельная регрессия с фиксированными эффектами устраняет данное ограничение, позволяя контролировать неизменную во времени ненаблюдаемую гетерогенность компаний, потенциально коррелирующую как с исходной санкционной экспозицией, так и со способностью к адаптации. Метод разности разностей позволяет перейти от простой ассоциации к квазиэкспериментальной идентификации эффекта при выполнении предпосылки параллельных трендов. Событийный анализ (event study) позволяет проверить динамику эффекта во времени и предшоковые тренды. Метод синтетического контроля позволяет построить контрфактическую траекторию для отдельной единицы наблюдения при отсутствии естественной контрольной группы; синтетическая разность разностей комбинирует данную логику с логикой временны́х фиксированных эффектов. Пороговые регрессионные модели позволяют проверить нелинейный, пороговый характер зависимости, не предполагая её линейности априорно. Модели бинарного выбора (Logit/Probit) позволяют учесть возможное выбывание компаний из панели вследствие шока и проверить устойчивость результата к альтернативной, бинарной операционализации зависимой переменной.</w:t>
      </w:r>
    </w:p>
    <w:p>
      <w:pPr>
        <w:pStyle w:val="Heading3"/>
        <w:spacing w:after="160" w:before="260" w:line="360" w:lineRule="auto"/>
        <w:jc w:val="left"/>
      </w:pPr>
      <w:r>
        <w:rPr>
          <w:rFonts w:ascii="Times New Roman" w:cs="Times New Roman" w:eastAsia="Times New Roman" w:hAnsi="Times New Roman"/>
          <w:b/>
          <w:bCs/>
          <w:i/>
          <w:iCs/>
          <w:sz w:val="26"/>
          <w:szCs w:val="26"/>
        </w:rPr>
        <w:t xml:space="preserve">1.5.4. Методы causal inference: условие применимости и системный характер несостыковки</w:t>
      </w:r>
    </w:p>
    <w:p>
      <w:pPr>
        <w:spacing w:after="160" w:before="0" w:line="360" w:lineRule="auto"/>
        <w:ind w:firstLine="709"/>
        <w:jc w:val="both"/>
      </w:pPr>
      <w:r>
        <w:rPr>
          <w:rFonts w:ascii="Times New Roman" w:cs="Times New Roman" w:eastAsia="Times New Roman" w:hAnsi="Times New Roman"/>
          <w:sz w:val="28"/>
          <w:szCs w:val="28"/>
        </w:rPr>
        <w:t xml:space="preserve">Существенно, что каждый из перечисленных в разделе 1.5.3 методов эффективен при одном общем условии: объясняющая и зависимая переменные должны быть предварительно и корректно операционализированы. Метод разности разностей не определяет самостоятельно, что такое санкционная экспозиция компании; пороговая регрессия не определяет, что такое трансформация бизнес-модели; событийный анализ нуждается в заранее заданной, статистически измеримой зависимой переменной для построения динамического профиля. Иными словами, зрелость эконометрического инструментария сама по себе не устраняет дефицит, установленный в разделах 1.1–1.4, а, напротив, делает его более отчётливым: методы причинного вывода готовы к применению, но не имеют операционализированного объекта применения, адекватного задаче измерения трансформации бизнес-модели.</w:t>
      </w:r>
    </w:p>
    <w:p>
      <w:pPr>
        <w:spacing w:after="160" w:before="0" w:line="360" w:lineRule="auto"/>
        <w:ind w:firstLine="709"/>
        <w:jc w:val="both"/>
      </w:pPr>
      <w:r>
        <w:rPr>
          <w:rFonts w:ascii="Times New Roman" w:cs="Times New Roman" w:eastAsia="Times New Roman" w:hAnsi="Times New Roman"/>
          <w:sz w:val="28"/>
          <w:szCs w:val="28"/>
        </w:rPr>
        <w:t xml:space="preserve">Сопоставление четырёх направлений литературы, рассмотренных в настоящей главе, обнаруживает не разрозненный, а системный характер несостыковки. Литература о санкциях (раздел 1.1) хорошо измеряет макроэкономические, отраслевые и финансово-фирменные последствия, но не отвечает на вопрос о системной трансформации бизнес-модели. Литература о бизнес-моделях (разделы 1.3, 1.5.2) содержательно описывает структуру и элементы бизнес-модели и предлагает отдельные измерительные решения, но лишь в единичных случаях — строгий количественный, причинно ориентированный инструментарий, применимый к вторичным данным. Литература об адаптации компаний, включая теорию динамических способностей (раздел 1.2), объясняет теоретический механизм перехода от шока к реконфигурации, но не формализует данный переход в виде операциональной эконометрической схемы. Эконометрика причинного вывода (раздел 1.5.3) предлагает отработанный набор инструментов, однако данные инструменты требуют на входе именно тех операционализированных конструкций — санкционной экспозиции и трансформации бизнес-модели, — которые ни одно из трёх содержательных направлений не поставляет в готовом виде.</w:t>
      </w:r>
    </w:p>
    <w:p>
      <w:pPr>
        <w:pStyle w:val="Heading3"/>
        <w:spacing w:after="160" w:before="260" w:line="360" w:lineRule="auto"/>
        <w:jc w:val="left"/>
      </w:pPr>
      <w:r>
        <w:rPr>
          <w:rFonts w:ascii="Times New Roman" w:cs="Times New Roman" w:eastAsia="Times New Roman" w:hAnsi="Times New Roman"/>
          <w:b/>
          <w:bCs/>
          <w:i/>
          <w:iCs/>
          <w:sz w:val="26"/>
          <w:szCs w:val="26"/>
        </w:rPr>
        <w:t xml:space="preserve">1.5.5. Ограничения существующих подходов</w:t>
      </w:r>
    </w:p>
    <w:p>
      <w:pPr>
        <w:spacing w:after="160" w:before="0" w:line="360" w:lineRule="auto"/>
        <w:ind w:firstLine="709"/>
        <w:jc w:val="both"/>
      </w:pPr>
      <w:r>
        <w:rPr>
          <w:rFonts w:ascii="Times New Roman" w:cs="Times New Roman" w:eastAsia="Times New Roman" w:hAnsi="Times New Roman"/>
          <w:sz w:val="28"/>
          <w:szCs w:val="28"/>
        </w:rPr>
        <w:t xml:space="preserve">Материал разделов 1.5.1–1.5.4 позволяет дать не декларативную, а дифференцированную оценку степени научной разработанности проблемы, различающую три уровня зрелости. Хорошо разработанными следует признать: теорию санкций и их типологию, макроэкономические последствия санкций, теорию бизнес-моделей как концептуального конструкта, теорию динамических способностей и панельную эконометрику причинного вывода в широком смысле. Частично разработанными следует признать: количественную оценку санкционного воздействия на уровне отдельной фирмы, где причинная идентификация развита, но применяется к финансовым, а не структурным показателям; количественную операционализацию трансформации бизнес-модели, где отдельные измерительные решения существуют, но не адаптированы к панельным вторичным данным; и эмпирическую операционализацию теории динамических способностей в кризисных условиях, ограниченную шоками общего характера. Недостаточно разработанной следует признать интеграцию перечисленных элементов в единую воспроизводимую эконометрическую методику, одновременно решающую задачи измерения санкционной экспозиции, измерения трансформации бизнес-модели и причинной идентификации связи между ними применительно к специфически санкционному шоку и к российским IT-компаниям.</w:t>
      </w:r>
    </w:p>
    <w:p>
      <w:pPr>
        <w:spacing w:after="120" w:before="240"/>
        <w:jc w:val="left"/>
      </w:pPr>
      <w:r>
        <w:rPr>
          <w:rFonts w:ascii="Times New Roman" w:cs="Times New Roman" w:eastAsia="Times New Roman" w:hAnsi="Times New Roman"/>
          <w:sz w:val="28"/>
          <w:szCs w:val="28"/>
        </w:rPr>
        <w:t xml:space="preserve">Таблица 1.3 — Систематизация исследований по проблеме воздействия внешних шоков и санкций на компании</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497"/>
        <w:gridCol w:w="2058"/>
        <w:gridCol w:w="1871"/>
        <w:gridCol w:w="2058"/>
        <w:gridCol w:w="1871"/>
      </w:tblGrid>
      <w:tr>
        <w:trPr>
          <w:tblHeader/>
        </w:trPr>
        <w:tc>
          <w:tcPr>
            <w:tcW w:type="dxa" w:w="1497"/>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Направление</w:t>
            </w:r>
          </w:p>
        </w:tc>
        <w:tc>
          <w:tcPr>
            <w:tcW w:type="dxa" w:w="2058"/>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Автор, год</w:t>
            </w:r>
          </w:p>
        </w:tc>
        <w:tc>
          <w:tcPr>
            <w:tcW w:type="dxa" w:w="187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Метод</w:t>
            </w:r>
          </w:p>
        </w:tc>
        <w:tc>
          <w:tcPr>
            <w:tcW w:type="dxa" w:w="2058"/>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Основной результат</w:t>
            </w:r>
          </w:p>
        </w:tc>
        <w:tc>
          <w:tcPr>
            <w:tcW w:type="dxa" w:w="187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Ограничение применительно к задаче диссертации</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макроуровень</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Hufbauer et al. (2007); Neuenkirch, Neumeier (2015); Felbermayr et al. (2020)</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Историко-статистический анализ; панельная FE-регрессия</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снижают темп роста ВВП на 2,3–3,5 п.п. в год</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Единица анализа — страна; не фиксирует неоднородность фирм</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Санкции: фирменный уровень</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Ahn, Ludema (2020); Crozet, Hinz (2020); Huynh, Hoang, Ongena (2022); Dobrynina, Grishunin (2025)</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регрессия; синтетический контроль; авторские индексы</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Значимый эффект на финансовую результативность</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DV — финансовые показатели, не структурная трансформация БМ</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Адаптация к шокам</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Kuzyk, Simachev (2023); Peñarroya-Farell, Miralles (2022); Kozachenko et al. (2026)</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Кейс-анализ; интервью; описательная систематизация</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Зафиксирована неоднородность стратегий адаптации</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Качественный метод, малые выборки</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Динамические способности</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Teece, Pisano, Shuen (1997); Dejardin et al. (2022); Sahebalzamani et al. (2022)</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Концептуальный анализ; структурное моделирование</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ДС опосредуют результативность и инновацию БМ в кризис</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Общий кризис, не санкции; не Россия, не IT</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Измерение бизнес-моделей</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Osterwalder, Pigneur (2010); Clauss (2017); Radic et al. (2022)</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Концептуальная разработка; валидация опросной шкалы; framework</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Разработан теоретический аппарат и отдельные измерительные шкалы</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Шкалы опросные, не адаптированы к вторичным панельным данным</w:t>
            </w:r>
          </w:p>
        </w:tc>
      </w:tr>
      <w:tr>
        <w:tc>
          <w:tcPr>
            <w:tcW w:type="dxa" w:w="1497"/>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Российские IT-компании</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Kuzyk, Simachev (2023)</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Описательная систематизация</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Систематизированы стратегии адаптации к санкциям 2022 г.</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эконометрическая модель; не IT-специфична</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pStyle w:val="Heading2"/>
        <w:spacing w:after="200" w:before="360" w:line="360" w:lineRule="auto"/>
        <w:jc w:val="left"/>
      </w:pPr>
      <w:r>
        <w:rPr>
          <w:rFonts w:ascii="Times New Roman" w:cs="Times New Roman" w:eastAsia="Times New Roman" w:hAnsi="Times New Roman"/>
          <w:b/>
          <w:bCs/>
          <w:sz w:val="28"/>
          <w:szCs w:val="28"/>
        </w:rPr>
        <w:t xml:space="preserve">1.6. Итоговая научная проблема и требования к методике</w:t>
      </w:r>
    </w:p>
    <w:p>
      <w:pPr>
        <w:spacing w:after="160" w:before="0" w:line="360" w:lineRule="auto"/>
        <w:ind w:firstLine="709"/>
        <w:jc w:val="both"/>
      </w:pPr>
      <w:r>
        <w:rPr>
          <w:rFonts w:ascii="Times New Roman" w:cs="Times New Roman" w:eastAsia="Times New Roman" w:hAnsi="Times New Roman"/>
          <w:sz w:val="28"/>
          <w:szCs w:val="28"/>
        </w:rPr>
        <w:t xml:space="preserve">Материал разделов 1.1–1.5 позволяет сформулировать научную проблему настоящего исследования не как констатацию недостаточной изученности темы, а как выявленное противоречие: между высоким уровнем развития теоретического и эмпирического инструментария в каждом из смежных направлений — исследованиях санкционного воздействия на фирмы, теории адаптации и динамических способностей, теории и измерении бизнес-моделей, эконометрике причинного вывода — и отсутствием целостного, воспроизводимого инструментария, интегрирующего данные направления для решения конкретной задачи: эконометрической оценки того, каким образом неоднородная по фирмам интенсивность санкционного воздействия приводит к системной трансформации бизнес-модели компаний IT-отрасли. Выявленное противоречие не может быть устранено посредством выбора одного дополнительного регрессора, одной альтернативной зависимой переменной или одного эконометрического метода, применённого к уже существующим показателям, поскольку дефицит одновременно относится к нескольким различным по природе задачам. Устранение подобного многосоставного дефицита требует не отдельного метода, а последовательной системы взаимосвязанных методологических решений — то есть разработки методики, а не выбора существующего инструмента.</w:t>
      </w:r>
    </w:p>
    <w:p>
      <w:pPr>
        <w:spacing w:after="160" w:before="0" w:line="360" w:lineRule="auto"/>
        <w:ind w:firstLine="709"/>
        <w:jc w:val="both"/>
      </w:pPr>
      <w:r>
        <w:rPr>
          <w:rFonts w:ascii="Times New Roman" w:cs="Times New Roman" w:eastAsia="Times New Roman" w:hAnsi="Times New Roman"/>
          <w:sz w:val="28"/>
          <w:szCs w:val="28"/>
        </w:rPr>
        <w:t xml:space="preserve">Требования, которым должна соответствовать данная методика, выводятся непосредственно из установленных в разделах 1.1–1.5 ограничений. Требование многомерности: поскольку бизнес-модель установлена в разделе 1.3 как система взаимозависимых структурных элементов, методика должна операционализировать её трансформацию через совокупность структурных индикаторов, агрегируемых в составной индекс. Требование учёта фирменной неоднородности: поскольку санкционное воздействие дифференцировано по компаниям в зависимости от их предшоковой интеграции в затрагиваемые контуры, методика должна измерять интенсивность, а не только факт воздействия. Требование предсанкционной предопределённости меры экспозиции: поскольку показатель, измеренный одновременно с исходом, содержательно смешивает причину со следствием, мера санкционной экспозиции должна быть зафиксирована до наступления шока. Требование причинной идентификации: поскольку простое сопоставление состояний «до» и «после» не отделяет санкционный эффект от общих временны́х изменений, методика должна опираться на quasi-экспериментальный дизайн. Требование динамичности: поскольку механизм seizing сопряжён с издержками корректировки, методика должна допускать лаговый характер эффекта. Требование проверки нелинейности: поскольку теоретически обоснована возможность качественного перехода между режимами адаптации при различной интенсивности давления, методика должна проверять, а не постулировать линейность зависимости. Требование робастности: поскольку различные способы операционализации ключевых конструкций способны давать различающиеся количественные результаты, выводы методики должны быть устойчивы к альтернативным спецификациям. Требование воспроизводимости: поскольку научный результат диссертации есть методика, а не единичная эмпирическая оценка, все процедуры построения показателей и оценивания моделей должны быть в явном виде документированы и повторяемы независимым исследователем. Требование адаптируемости: поскольку апробация на панели компаний и на отдельном кейсе является лишь частным случаем применения методики, последняя должна быть сформулирована на уровне генерального класса IT-компаний.</w:t>
      </w:r>
    </w:p>
    <w:p>
      <w:pPr>
        <w:spacing w:after="120" w:before="240"/>
        <w:jc w:val="left"/>
      </w:pPr>
      <w:r>
        <w:rPr>
          <w:rFonts w:ascii="Times New Roman" w:cs="Times New Roman" w:eastAsia="Times New Roman" w:hAnsi="Times New Roman"/>
          <w:sz w:val="28"/>
          <w:szCs w:val="28"/>
        </w:rPr>
        <w:t xml:space="preserve">Таблица 1.4 — Выявленные ограничения существующих подходов и требования к разрабатываемой методике</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1684"/>
        <w:gridCol w:w="2058"/>
        <w:gridCol w:w="2058"/>
        <w:gridCol w:w="1871"/>
        <w:gridCol w:w="1684"/>
      </w:tblGrid>
      <w:tr>
        <w:trPr>
          <w:tblHeader/>
        </w:trPr>
        <w:tc>
          <w:tcPr>
            <w:tcW w:type="dxa" w:w="168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Научная проблема</w:t>
            </w:r>
          </w:p>
        </w:tc>
        <w:tc>
          <w:tcPr>
            <w:tcW w:type="dxa" w:w="2058"/>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Существующий подход</w:t>
            </w:r>
          </w:p>
        </w:tc>
        <w:tc>
          <w:tcPr>
            <w:tcW w:type="dxa" w:w="2058"/>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Ограничение</w:t>
            </w:r>
          </w:p>
        </w:tc>
        <w:tc>
          <w:tcPr>
            <w:tcW w:type="dxa" w:w="187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Требование</w:t>
            </w:r>
          </w:p>
        </w:tc>
        <w:tc>
          <w:tcPr>
            <w:tcW w:type="dxa" w:w="1684"/>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Направление методического решения</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Измерение интенсивности санкционного воздействия на фирму</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Бинарные индикаторы включения в санкционные списки; постфактум-индексы (Ahn, Ludema, 2020; Dobrynina, Grishunin, 2025)</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учитывается неоднородность предшоковой интеграции фирм; причина смешивается со следствием</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Измерять интенсивность потенциального воздействия по предопределённой, многокомпонентной характеристике</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Индекс санкционной экспозиции компании</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Измерение трансформации бизнес-модели</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Кейс-исследования; опросные шкалы (Peñarroya-Farell, Miralles, 2022; Clauss, 2017)</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адаптированы к панельному анализу вторичной публичной отчётности</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Операционализировать на основе отчётности, декомпозируемой на структурные блоки</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Индекс трансформации бизнес-модели</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Причинная идентификация эффекта</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регрессия и разность разностей, применяемые к финансовым показателям (Huynh, Hoang, Ongena, 2022)</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Инструментарий не перенесён на зависимую переменную структурной трансформации</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Перенести идентификационную стратегию на новую зависимую переменную</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Панельная FE-модель и разность разностей применительно к индексу трансформации</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Формализация механизма адаптации</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Теория динамических способностей (Teece, Pisano, Shuen, 1997)</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Объясняет механизм, но не даёт процедуры измерения</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Формализовать причинную цепочку «экспозиция → реконфигурация → трансформация БМ»</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Идентификационная схема, связывающая ИСЭК и ИТБМ</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Учёт нелинейности и неоднородности воздействия</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Линейные спецификации, постулирующие однородность эффекта (раздел 1.5.3)</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проверяется наличие критического уровня давления и различий между подгруппами фирм</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Проверять, а не постулировать линейность и однородность зависимости</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Пороговая регрессия и анализ гетерогенности</w:t>
            </w:r>
          </w:p>
        </w:tc>
      </w:tr>
      <w:tr>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Апробация на российских IT-компаниях</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Описательная систематизация (Kuzyk, Simachev, 2023)</w:t>
            </w:r>
          </w:p>
        </w:tc>
        <w:tc>
          <w:tcPr>
            <w:tcW w:type="dxa" w:w="2058"/>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Не эконометрическая модель, не панельные данные</w:t>
            </w:r>
          </w:p>
        </w:tc>
        <w:tc>
          <w:tcPr>
            <w:tcW w:type="dxa" w:w="187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Апробировать методику на панели российских IT-компаний</w:t>
            </w:r>
          </w:p>
        </w:tc>
        <w:tc>
          <w:tcPr>
            <w:tcW w:type="dxa" w:w="1684"/>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Эмпирическая глава на данных 2019–2024 гг.</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Логика формирования научной проблемы, представленная в разделах 1.1–1.6, обобщена на рисунке 1.1.</w:t>
      </w:r>
    </w:p>
    <w:p>
      <w:pPr>
        <w:spacing w:after="120" w:before="240"/>
        <w:jc w:val="left"/>
      </w:pPr>
      <w:r>
        <w:rPr>
          <w:rFonts w:ascii="Times New Roman" w:cs="Times New Roman" w:eastAsia="Times New Roman" w:hAnsi="Times New Roman"/>
          <w:sz w:val="28"/>
          <w:szCs w:val="28"/>
        </w:rPr>
        <w:t xml:space="preserve">Рисунок 1.1 — Логика формирования научной проблемы и разработки эконометрической методики</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9355"/>
      </w:tblGrid>
      <w:tr>
        <w:trPr>
          <w:tblHeader/>
        </w:trPr>
        <w:tc>
          <w:tcPr>
            <w:tcW w:type="dxa" w:w="9355"/>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Последовательность формирования научной проблемы</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Санкционный шок (раздел 1.1)</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Неоднородное воздействие на фирмы (раздел 1.1.2–1.1.4)</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Адаптация (раздел 1.2)</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Трансформация бизнес-модели (раздел 1.3)</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Специфика IT-отрасли и российского контекста (раздел 1.4)</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Проблема количественного измерения (раздел 1.5.2)</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Проблема причинной идентификации (раздел 1.5.3–1.5.4)</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Ограничения существующих подходов (раздел 1.5.5)</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Требования к методике (раздел 1.6, табл. 1.4)</w:t>
            </w:r>
          </w:p>
        </w:tc>
      </w:tr>
      <w:tr>
        <w:tc>
          <w:tcPr>
            <w:tcW w:type="dxa" w:w="9355"/>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 Разработка методики (глава 2)</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Формирование архитектуры методики на основе перечисленных требований и выявленных дефицитов литературы прямо соответствует распределению исследовательских задач по структуре диссертации, представленному в таблице 1.5.</w:t>
      </w:r>
    </w:p>
    <w:p>
      <w:pPr>
        <w:spacing w:after="120" w:before="240"/>
        <w:jc w:val="left"/>
      </w:pPr>
      <w:r>
        <w:rPr>
          <w:rFonts w:ascii="Times New Roman" w:cs="Times New Roman" w:eastAsia="Times New Roman" w:hAnsi="Times New Roman"/>
          <w:sz w:val="28"/>
          <w:szCs w:val="28"/>
        </w:rPr>
        <w:t xml:space="preserve">Таблица 1.5 — Соответствие исследовательских задач и структуры диссертации</w:t>
      </w:r>
    </w:p>
    <w:tbl>
      <w:tblPr>
        <w:tblW w:type="dxa" w:w="9355"/>
        <w:tblBorders>
          <w:top w:val="single" w:color="000000" w:sz="4"/>
          <w:left w:val="single" w:color="000000" w:sz="4"/>
          <w:bottom w:val="single" w:color="000000" w:sz="4"/>
          <w:right w:val="single" w:color="000000" w:sz="4"/>
          <w:insideH w:val="single" w:color="000000" w:sz="2"/>
          <w:insideV w:val="single" w:color="000000" w:sz="2"/>
        </w:tblBorders>
      </w:tblPr>
      <w:tblGrid>
        <w:gridCol w:w="3742"/>
        <w:gridCol w:w="1123"/>
        <w:gridCol w:w="1310"/>
        <w:gridCol w:w="3181"/>
      </w:tblGrid>
      <w:tr>
        <w:trPr>
          <w:tblHeader/>
        </w:trPr>
        <w:tc>
          <w:tcPr>
            <w:tcW w:type="dxa" w:w="3742"/>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Задача</w:t>
            </w:r>
          </w:p>
        </w:tc>
        <w:tc>
          <w:tcPr>
            <w:tcW w:type="dxa" w:w="1123"/>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Глава</w:t>
            </w:r>
          </w:p>
        </w:tc>
        <w:tc>
          <w:tcPr>
            <w:tcW w:type="dxa" w:w="1310"/>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Параграф</w:t>
            </w:r>
          </w:p>
        </w:tc>
        <w:tc>
          <w:tcPr>
            <w:tcW w:type="dxa" w:w="3181"/>
            <w:shd w:fill="D9D9D9" w:val="clear"/>
            <w:tcMar>
              <w:top w:type="dxa" w:w="60"/>
              <w:left w:type="dxa" w:w="100"/>
              <w:bottom w:type="dxa" w:w="60"/>
              <w:right w:type="dxa" w:w="100"/>
            </w:tcMar>
            <w:vAlign w:val="center"/>
          </w:tcPr>
          <w:p>
            <w:pPr>
              <w:spacing w:after="0" w:line="276" w:lineRule="auto"/>
              <w:jc w:val="center"/>
            </w:pPr>
            <w:r>
              <w:rPr>
                <w:rFonts w:ascii="Times New Roman" w:cs="Times New Roman" w:eastAsia="Times New Roman" w:hAnsi="Times New Roman"/>
                <w:b/>
                <w:bCs/>
                <w:sz w:val="24"/>
                <w:szCs w:val="24"/>
              </w:rPr>
              <w:t xml:space="preserve">Основной результат</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 Исследовать теоретические подходы к санкционному воздействию</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1.1</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Вывод о недостаточности макро-, отраслевого и фирменного уровней анализа санкций для измерения трансформации БМ</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 Систематизировать теории адаптации и выбрать теоретическую рамку</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1.2</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Выбор теории динамических способностей</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3. Проанализировать подходы к операционализации бизнес-модели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1.3</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Рабочее определение БМ; обоснование многомерности измерения</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4. Обосновать специфику IT-отрасли и российского контекста</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1.4</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Обоснование IT-отрасли как объекта апробации</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5. Систематизировать методический инструментарий и выявить ограничения</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1.5</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Таблица 1.3; системный характер несостыковки</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6. Сформулировать требования к методике</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1.6</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Девять требований; таблица 1.4</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7. Разработать ИСЭК и ИТБМ</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2.2–2.3</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Формулы и процедуры расчёта обоих индексов</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8. Сформировать эконометрическую модель и систему проверки устойчивости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2.4–2.9</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Полная идентификационная архитектура</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9. Разработать алгоритм практического применения методики</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2.11</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Пошаговый воспроизводимый алгоритм</w:t>
            </w:r>
          </w:p>
        </w:tc>
      </w:tr>
      <w:tr>
        <w:tc>
          <w:tcPr>
            <w:tcW w:type="dxa" w:w="3742"/>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10. Провести апробацию на панельных данных российских IT-компаний</w:t>
            </w:r>
          </w:p>
        </w:tc>
        <w:tc>
          <w:tcPr>
            <w:tcW w:type="dxa" w:w="1123"/>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3</w:t>
            </w:r>
          </w:p>
        </w:tc>
        <w:tc>
          <w:tcPr>
            <w:tcW w:type="dxa" w:w="1310"/>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3.1–3.13</w:t>
            </w:r>
          </w:p>
        </w:tc>
        <w:tc>
          <w:tcPr>
            <w:tcW w:type="dxa" w:w="3181"/>
            <w:tcMar>
              <w:top w:type="dxa" w:w="60"/>
              <w:left w:type="dxa" w:w="100"/>
              <w:bottom w:type="dxa" w:w="60"/>
              <w:right w:type="dxa" w:w="100"/>
            </w:tcMar>
            <w:vAlign w:val="center"/>
          </w:tcPr>
          <w:p>
            <w:pPr>
              <w:spacing w:after="0" w:line="276" w:lineRule="auto"/>
              <w:jc w:val="left"/>
            </w:pPr>
            <w:r>
              <w:rPr>
                <w:rFonts w:ascii="Times New Roman" w:cs="Times New Roman" w:eastAsia="Times New Roman" w:hAnsi="Times New Roman"/>
                <w:sz w:val="24"/>
                <w:szCs w:val="24"/>
              </w:rPr>
              <w:t xml:space="preserve">Эмпирические оценки и содержательная интерпретация</w:t>
            </w:r>
          </w:p>
        </w:tc>
      </w:tr>
    </w:tbl>
    <w:p>
      <w:pPr>
        <w:spacing w:after="240" w:before="80"/>
        <w:jc w:val="left"/>
      </w:pPr>
      <w:r>
        <w:rPr>
          <w:rFonts w:ascii="Times New Roman" w:cs="Times New Roman" w:eastAsia="Times New Roman" w:hAnsi="Times New Roman"/>
          <w:i/>
          <w:iCs/>
          <w:sz w:val="24"/>
          <w:szCs w:val="24"/>
        </w:rPr>
        <w:t xml:space="preserve">Источник: составлено автором.</w:t>
      </w:r>
    </w:p>
    <w:p>
      <w:pPr>
        <w:spacing w:after="160" w:before="0" w:line="360" w:lineRule="auto"/>
        <w:ind w:firstLine="709"/>
        <w:jc w:val="both"/>
      </w:pPr>
      <w:r>
        <w:rPr>
          <w:rFonts w:ascii="Times New Roman" w:cs="Times New Roman" w:eastAsia="Times New Roman" w:hAnsi="Times New Roman"/>
          <w:sz w:val="28"/>
          <w:szCs w:val="28"/>
        </w:rPr>
        <w:t xml:space="preserve">Необходимо провести чёткое разграничение между тем, что заимствуется из существующего научного аппарата, и тем, что составляет собственно предмет разработки в настоящей диссертации. Канва бизнес-модели, метод главных компонент, панельная регрессия с фиксированными эффектами, метод разности разностей, событийный анализ, пороговая регрессия Хансена и метод синтетического контроля — существующие, самостоятельно разработанные другими авторами теоретические конструкции и статистические методы; их использование в настоящем исследовании не составляет научной новизны само по себе. Научный вклад диссертации состоит не в изобретении данных методов, а в ином: в содержательном обосновании и формировании конструкта санкционной экспозиции именно как предсанкционной, многокомпонентной характеристики фирмы; в операционализации трансформации бизнес-модели через систему из девяти структурных блоков, извлекаемых из публичной отчётности; в формализации причинной цепочки, связывающей данные два конструкта через механизм динамических способностей; в идентификационной стратегии, адаптированной к специфике санкционного шока как объекта анализа; в последовательной интеграции перечисленных методов в единую, а не изолированную друг от друга архитектуру; и в системе проверок устойчивости, специально сконструированной для угроз идентификации, установленных как специфичные именно для данной исследовательской задачи. Данная граница между заимствованным инструментарием и собственно авторской разработкой последовательно выдерживается на протяжении всей диссертации.</w:t>
      </w:r>
    </w:p>
    <w:p>
      <w:pPr>
        <w:spacing w:after="160" w:before="0" w:line="360" w:lineRule="auto"/>
        <w:ind w:firstLine="709"/>
        <w:jc w:val="both"/>
      </w:pPr>
      <w:r>
        <w:rPr>
          <w:rFonts w:ascii="Times New Roman" w:cs="Times New Roman" w:eastAsia="Times New Roman" w:hAnsi="Times New Roman"/>
          <w:sz w:val="28"/>
          <w:szCs w:val="28"/>
        </w:rPr>
        <w:t xml:space="preserve">Выявленные ограничения существующих подходов обусловливают необходимость разработки комплексной методики, объединяющей процедуры измерения санкционной экспозиции и трансформации бизнес-модели с эконометрической идентификацией влияния санкционного шока и системой проверки устойчивости результатов. Структура и инструментарий такой методики рассматриваются в главе 2.</w:t>
      </w:r>
    </w:p>
    <w:p>
      <w:pPr>
        <w:pStyle w:val="Heading2"/>
        <w:spacing w:after="200" w:before="360" w:line="360" w:lineRule="auto"/>
        <w:jc w:val="left"/>
      </w:pPr>
      <w:r>
        <w:rPr>
          <w:rFonts w:ascii="Times New Roman" w:cs="Times New Roman" w:eastAsia="Times New Roman" w:hAnsi="Times New Roman"/>
          <w:b/>
          <w:bCs/>
          <w:sz w:val="28"/>
          <w:szCs w:val="28"/>
        </w:rPr>
        <w:t xml:space="preserve">Выводы по главе 1</w:t>
      </w:r>
    </w:p>
    <w:p>
      <w:pPr>
        <w:spacing w:after="160" w:before="0" w:line="360" w:lineRule="auto"/>
        <w:ind w:firstLine="709"/>
        <w:jc w:val="both"/>
      </w:pPr>
      <w:r>
        <w:rPr>
          <w:rFonts w:ascii="Times New Roman" w:cs="Times New Roman" w:eastAsia="Times New Roman" w:hAnsi="Times New Roman"/>
          <w:sz w:val="28"/>
          <w:szCs w:val="28"/>
        </w:rPr>
        <w:t xml:space="preserve">Проведённый в первой главе анализ позволяет сформулировать шесть содержательных выводов.</w:t>
      </w:r>
    </w:p>
    <w:p>
      <w:pPr>
        <w:spacing w:after="160" w:before="0" w:line="360" w:lineRule="auto"/>
        <w:ind w:firstLine="709"/>
        <w:jc w:val="both"/>
      </w:pPr>
      <w:r>
        <w:rPr>
          <w:rFonts w:ascii="Times New Roman" w:cs="Times New Roman" w:eastAsia="Times New Roman" w:hAnsi="Times New Roman"/>
          <w:sz w:val="28"/>
          <w:szCs w:val="28"/>
        </w:rPr>
        <w:t xml:space="preserve">Первое. Последовательная проверка трёх уровней анализа санкционного воздействия — макроэкономического, отраслевого и фирменного — с опорой на понятийную триаду «санкции — санкционный шок — санкционная экспозиция» показала, что ни один из уровней не даёт готового решения задачи измерения трансформации бизнес-модели: макро- и отраслевой уровни не фиксируют внутрифирменную неоднородность, тогда как фирменный уровень, обладая методологически пригодным эконометрическим инструментарием, применяет его к финансовым, а не структурным показателям.</w:t>
      </w:r>
    </w:p>
    <w:p>
      <w:pPr>
        <w:spacing w:after="160" w:before="0" w:line="360" w:lineRule="auto"/>
        <w:ind w:firstLine="709"/>
        <w:jc w:val="both"/>
      </w:pPr>
      <w:r>
        <w:rPr>
          <w:rFonts w:ascii="Times New Roman" w:cs="Times New Roman" w:eastAsia="Times New Roman" w:hAnsi="Times New Roman"/>
          <w:sz w:val="28"/>
          <w:szCs w:val="28"/>
        </w:rPr>
        <w:t xml:space="preserve">Второе. Сопоставление пяти теорий адаптации компаний к внешним шокам по трём критериям — способности объяснить процесс, а не только устойчивость; способности связать его именно с бизнес-моделью; применимости к специфике санкционного шока — показало, что теория динамических способностей единственная среди них удовлетворяет всем трём критериям одновременно, что обосновывает её выбор в качестве основной теоретической рамки; одновременно установлено, что данная теория задаёт теоретический механизм, но не процедуру измерения.</w:t>
      </w:r>
    </w:p>
    <w:p>
      <w:pPr>
        <w:spacing w:after="160" w:before="0" w:line="360" w:lineRule="auto"/>
        <w:ind w:firstLine="709"/>
        <w:jc w:val="both"/>
      </w:pPr>
      <w:r>
        <w:rPr>
          <w:rFonts w:ascii="Times New Roman" w:cs="Times New Roman" w:eastAsia="Times New Roman" w:hAnsi="Times New Roman"/>
          <w:sz w:val="28"/>
          <w:szCs w:val="28"/>
        </w:rPr>
        <w:t xml:space="preserve">Третье. Критическое сопоставление четырёх подходов к определению бизнес-модели привело к синтетическому рабочему определению, задающему единицу наблюдения, принцип агрегирования и источник эмпирических данных; показано, что финансовые показатели фиксируют результат деятельности компании, но не способ создания ценности, вследствие чего измерение трансформации бизнес-модели требует многомерной, а не одномерной операционализации.</w:t>
      </w:r>
    </w:p>
    <w:p>
      <w:pPr>
        <w:spacing w:after="160" w:before="0" w:line="360" w:lineRule="auto"/>
        <w:ind w:firstLine="709"/>
        <w:jc w:val="both"/>
      </w:pPr>
      <w:r>
        <w:rPr>
          <w:rFonts w:ascii="Times New Roman" w:cs="Times New Roman" w:eastAsia="Times New Roman" w:hAnsi="Times New Roman"/>
          <w:sz w:val="28"/>
          <w:szCs w:val="28"/>
        </w:rPr>
        <w:t xml:space="preserve">Четвёртое. IT-отрасль обоснована как содержательно значимый объект апробации ввиду многоканальной природы санкционного воздействия на неё и наблюдаемой неоднородности реакции компаний, а российский контекст — ввиду последовательности двух исторически различных санкционных эпизодов 2014 и 2022 гг., сопровождавшихся качественно различным государственным ответом.</w:t>
      </w:r>
    </w:p>
    <w:p>
      <w:pPr>
        <w:spacing w:after="160" w:before="0" w:line="360" w:lineRule="auto"/>
        <w:ind w:firstLine="709"/>
        <w:jc w:val="both"/>
      </w:pPr>
      <w:r>
        <w:rPr>
          <w:rFonts w:ascii="Times New Roman" w:cs="Times New Roman" w:eastAsia="Times New Roman" w:hAnsi="Times New Roman"/>
          <w:sz w:val="28"/>
          <w:szCs w:val="28"/>
        </w:rPr>
        <w:t xml:space="preserve">Пятое. Критический анализ семи подходов к измерению трансформации бизнес-модели и обзор эконометрического инструментария причинного вывода показали, что зрелость методов причинной идентификации не устраняет, а обнажает дефицит содержательных направлений: методы готовы к применению, но не имеют операционализированного объекта применения.</w:t>
      </w:r>
    </w:p>
    <w:p>
      <w:pPr>
        <w:spacing w:after="160" w:before="0" w:line="360" w:lineRule="auto"/>
        <w:ind w:firstLine="709"/>
        <w:jc w:val="both"/>
      </w:pPr>
      <w:r>
        <w:rPr>
          <w:rFonts w:ascii="Times New Roman" w:cs="Times New Roman" w:eastAsia="Times New Roman" w:hAnsi="Times New Roman"/>
          <w:sz w:val="28"/>
          <w:szCs w:val="28"/>
        </w:rPr>
        <w:t xml:space="preserve">Шестое. Систематический обзор литературы позволил установить не разрозненные, а системно связанные дефициты, сформулированные в настоящей главе в виде девяти требований и представленные в виде прямого соответствия между научной проблемой, ограничением существующего подхода и направлением методического решения (таблица 1.4). Именно данная система и составляет предмет разработки, осуществляемой во второй главе диссертации, где каждый элемент получает полную формализацию — от математической спецификации индексов ИСЭК и ИТБМ до формул панельной модели, метода разности разностей, событийного анализа, пороговой регрессии и системы проверок устойчивости, — тогда как третья глава применяет разработанную методику к панельным данным российских IT-компаний, включая апробацию на отдельном кейсе.</w:t>
      </w:r>
    </w:p>
    <w:p>
      <w:pPr>
        <w:pStyle w:val="Heading2"/>
        <w:spacing w:after="200" w:before="360" w:line="360" w:lineRule="auto"/>
        <w:jc w:val="left"/>
      </w:pPr>
      <w:r>
        <w:rPr>
          <w:rFonts w:ascii="Times New Roman" w:cs="Times New Roman" w:eastAsia="Times New Roman" w:hAnsi="Times New Roman"/>
          <w:b/>
          <w:bCs/>
          <w:sz w:val="28"/>
          <w:szCs w:val="28"/>
        </w:rPr>
        <w:t xml:space="preserve">Список использованных источников</w:t>
      </w:r>
    </w:p>
    <w:p>
      <w:pPr>
        <w:spacing w:after="140" w:line="276" w:lineRule="auto"/>
        <w:ind w:left="480" w:hanging="480"/>
        <w:jc w:val="both"/>
      </w:pPr>
      <w:r>
        <w:rPr>
          <w:rFonts w:ascii="Times New Roman" w:cs="Times New Roman" w:eastAsia="Times New Roman" w:hAnsi="Times New Roman"/>
          <w:sz w:val="24"/>
          <w:szCs w:val="24"/>
        </w:rPr>
        <w:t xml:space="preserve">Ahn D. P., Ludema R. D. The sword and the shield: the economics of targeted sanctions // European Economic Review. 2020. Vol. 130. Art. 103587. DOI: 10.1016/j.euroecorev.2020.103587.</w:t>
      </w:r>
    </w:p>
    <w:p>
      <w:pPr>
        <w:spacing w:after="140" w:line="276" w:lineRule="auto"/>
        <w:ind w:left="480" w:hanging="480"/>
        <w:jc w:val="both"/>
      </w:pPr>
      <w:r>
        <w:rPr>
          <w:rFonts w:ascii="Times New Roman" w:cs="Times New Roman" w:eastAsia="Times New Roman" w:hAnsi="Times New Roman"/>
          <w:sz w:val="24"/>
          <w:szCs w:val="24"/>
        </w:rPr>
        <w:t xml:space="preserve">Barney J. Firm resources and sustained competitive advantage // Journal of Management. 1991. Vol. 17. No. 1. P. 99–120. DOI: 10.1177/014920639101700108.</w:t>
      </w:r>
    </w:p>
    <w:p>
      <w:pPr>
        <w:spacing w:after="140" w:line="276" w:lineRule="auto"/>
        <w:ind w:left="480" w:hanging="480"/>
        <w:jc w:val="both"/>
      </w:pPr>
      <w:r>
        <w:rPr>
          <w:rFonts w:ascii="Times New Roman" w:cs="Times New Roman" w:eastAsia="Times New Roman" w:hAnsi="Times New Roman"/>
          <w:sz w:val="24"/>
          <w:szCs w:val="24"/>
        </w:rPr>
        <w:t xml:space="preserve">Besedeš T., Goldbach S., Nitsch V. Cheap talk? Financial sanctions and non-financial firms // European Economic Review. 2021. Vol. 134. Art. 103688. DOI: 10.1016/j.euroecorev.2021.103688.</w:t>
      </w:r>
    </w:p>
    <w:p>
      <w:pPr>
        <w:spacing w:after="140" w:line="276" w:lineRule="auto"/>
        <w:ind w:left="480" w:hanging="480"/>
        <w:jc w:val="both"/>
      </w:pPr>
      <w:r>
        <w:rPr>
          <w:rFonts w:ascii="Times New Roman" w:cs="Times New Roman" w:eastAsia="Times New Roman" w:hAnsi="Times New Roman"/>
          <w:sz w:val="24"/>
          <w:szCs w:val="24"/>
        </w:rPr>
        <w:t xml:space="preserve">Casadesus-Masanell R., Ricart J. E. From strategy to business models and onto tactics // Long Range Planning. 2010. Vol. 43. No. 2–3. P. 195–215. DOI: 10.1016/j.lrp.2010.01.004.</w:t>
      </w:r>
    </w:p>
    <w:p>
      <w:pPr>
        <w:spacing w:after="140" w:line="276" w:lineRule="auto"/>
        <w:ind w:left="480" w:hanging="480"/>
        <w:jc w:val="both"/>
      </w:pPr>
      <w:r>
        <w:rPr>
          <w:rFonts w:ascii="Times New Roman" w:cs="Times New Roman" w:eastAsia="Times New Roman" w:hAnsi="Times New Roman"/>
          <w:sz w:val="24"/>
          <w:szCs w:val="24"/>
        </w:rPr>
        <w:t xml:space="preserve">Clauss T. Measuring business model innovation: conceptualization, scale development, and proof of performance // R&amp;D Management. 2017. Vol. 47. No. 3. P. 385–403. DOI: 10.1111/radm.12186.</w:t>
      </w:r>
    </w:p>
    <w:p>
      <w:pPr>
        <w:spacing w:after="140" w:line="276" w:lineRule="auto"/>
        <w:ind w:left="480" w:hanging="480"/>
        <w:jc w:val="both"/>
      </w:pPr>
      <w:r>
        <w:rPr>
          <w:rFonts w:ascii="Times New Roman" w:cs="Times New Roman" w:eastAsia="Times New Roman" w:hAnsi="Times New Roman"/>
          <w:sz w:val="24"/>
          <w:szCs w:val="24"/>
        </w:rPr>
        <w:t xml:space="preserve">Cohen W. M., Levinthal D. A. Absorptive capacity: a new perspective on learning and innovation // Administrative Science Quarterly. 1990. Vol. 35. No. 1. P. 128–152. DOI: 10.2307/2393553.</w:t>
      </w:r>
    </w:p>
    <w:p>
      <w:pPr>
        <w:spacing w:after="140" w:line="276" w:lineRule="auto"/>
        <w:ind w:left="480" w:hanging="480"/>
        <w:jc w:val="both"/>
      </w:pPr>
      <w:r>
        <w:rPr>
          <w:rFonts w:ascii="Times New Roman" w:cs="Times New Roman" w:eastAsia="Times New Roman" w:hAnsi="Times New Roman"/>
          <w:sz w:val="24"/>
          <w:szCs w:val="24"/>
        </w:rPr>
        <w:t xml:space="preserve">Crozet M., Hinz J. Friendly fire: the trade impact of the Russia sanctions and counter-sanctions // Economic Policy. 2020. Vol. 35. No. 101. P. 97–146. DOI: 10.1093/epolic/eiaa006.</w:t>
      </w:r>
    </w:p>
    <w:p>
      <w:pPr>
        <w:spacing w:after="140" w:line="276" w:lineRule="auto"/>
        <w:ind w:left="480" w:hanging="480"/>
        <w:jc w:val="both"/>
      </w:pPr>
      <w:r>
        <w:rPr>
          <w:rFonts w:ascii="Times New Roman" w:cs="Times New Roman" w:eastAsia="Times New Roman" w:hAnsi="Times New Roman"/>
          <w:sz w:val="24"/>
          <w:szCs w:val="24"/>
        </w:rPr>
        <w:t xml:space="preserve">Dejardin M., Raposo M. L., Ferreira J. J. M., Fernandes C. I., Veiga P. M., Farinha L. The impact of dynamic capabilities on SME performance during COVID-19 // Review of Managerial Science. 2022. Vol. 17. No. 5. P. 1703–1729. DOI: 10.1007/s11846-022-00569-x.</w:t>
      </w:r>
    </w:p>
    <w:p>
      <w:pPr>
        <w:spacing w:after="140" w:line="276" w:lineRule="auto"/>
        <w:ind w:left="480" w:hanging="480"/>
        <w:jc w:val="both"/>
      </w:pPr>
      <w:r>
        <w:rPr>
          <w:rFonts w:ascii="Times New Roman" w:cs="Times New Roman" w:eastAsia="Times New Roman" w:hAnsi="Times New Roman"/>
          <w:sz w:val="24"/>
          <w:szCs w:val="24"/>
        </w:rPr>
        <w:t xml:space="preserve">Dobrynina P., Grishunin S. The impact of sanctions on the financial performance and creditworthiness of Russian non-financial companies // Procedia Computer Science. 2025. Vol. 266.</w:t>
      </w:r>
    </w:p>
    <w:p>
      <w:pPr>
        <w:spacing w:after="140" w:line="276" w:lineRule="auto"/>
        <w:ind w:left="480" w:hanging="480"/>
        <w:jc w:val="both"/>
      </w:pPr>
      <w:r>
        <w:rPr>
          <w:rFonts w:ascii="Times New Roman" w:cs="Times New Roman" w:eastAsia="Times New Roman" w:hAnsi="Times New Roman"/>
          <w:sz w:val="24"/>
          <w:szCs w:val="24"/>
        </w:rPr>
        <w:t xml:space="preserve">Duchek S. Organizational resilience: a capability-based conceptualization // Business Research. 2020. Vol. 13. No. 1. P. 215–246. DOI: 10.1007/s40685-019-0085-7.</w:t>
      </w:r>
    </w:p>
    <w:p>
      <w:pPr>
        <w:spacing w:after="140" w:line="276" w:lineRule="auto"/>
        <w:ind w:left="480" w:hanging="480"/>
        <w:jc w:val="both"/>
      </w:pPr>
      <w:r>
        <w:rPr>
          <w:rFonts w:ascii="Times New Roman" w:cs="Times New Roman" w:eastAsia="Times New Roman" w:hAnsi="Times New Roman"/>
          <w:sz w:val="24"/>
          <w:szCs w:val="24"/>
        </w:rPr>
        <w:t xml:space="preserve">Felbermayr G., Kirilakha A., Syropoulos C., Yalcin E., Yotov Y. V. The global sanctions data base // European Economic Review. 2020. Vol. 129. Art. 103561. DOI: 10.1016/j.euroecorev.2020.103561.</w:t>
      </w:r>
    </w:p>
    <w:p>
      <w:pPr>
        <w:spacing w:after="140" w:line="276" w:lineRule="auto"/>
        <w:ind w:left="480" w:hanging="480"/>
        <w:jc w:val="both"/>
      </w:pPr>
      <w:r>
        <w:rPr>
          <w:rFonts w:ascii="Times New Roman" w:cs="Times New Roman" w:eastAsia="Times New Roman" w:hAnsi="Times New Roman"/>
          <w:sz w:val="24"/>
          <w:szCs w:val="24"/>
        </w:rPr>
        <w:t xml:space="preserve">Foss N. J., Saebi T. Fifteen years of research on business model innovation: how far have we come, and where should we go? // Journal of Management. 2017. Vol. 43. No. 1. P. 200–227. DOI: 10.1177/0149206316675927.</w:t>
      </w:r>
    </w:p>
    <w:p>
      <w:pPr>
        <w:spacing w:after="140" w:line="276" w:lineRule="auto"/>
        <w:ind w:left="480" w:hanging="480"/>
        <w:jc w:val="both"/>
      </w:pPr>
      <w:r>
        <w:rPr>
          <w:rFonts w:ascii="Times New Roman" w:cs="Times New Roman" w:eastAsia="Times New Roman" w:hAnsi="Times New Roman"/>
          <w:sz w:val="24"/>
          <w:szCs w:val="24"/>
        </w:rPr>
        <w:t xml:space="preserve">Goldsmith-Pinkham P., Sorkin I., Swift H. Bartik instruments: what, when, why, and how // American Economic Review. 2020. Vol. 110. No. 8. P. 2586–2624. DOI: 10.1257/aer.20181047.</w:t>
      </w:r>
    </w:p>
    <w:p>
      <w:pPr>
        <w:spacing w:after="140" w:line="276" w:lineRule="auto"/>
        <w:ind w:left="480" w:hanging="480"/>
        <w:jc w:val="both"/>
      </w:pPr>
      <w:r>
        <w:rPr>
          <w:rFonts w:ascii="Times New Roman" w:cs="Times New Roman" w:eastAsia="Times New Roman" w:hAnsi="Times New Roman"/>
          <w:sz w:val="24"/>
          <w:szCs w:val="24"/>
        </w:rPr>
        <w:t xml:space="preserve">Hufbauer G. C., Schott J. J., Elliott K. A., Oegg B. Economic Sanctions Reconsidered. 3rd ed. Washington, DC: Peterson Institute for International Economics, 2007. 233 p.</w:t>
      </w:r>
    </w:p>
    <w:p>
      <w:pPr>
        <w:spacing w:after="140" w:line="276" w:lineRule="auto"/>
        <w:ind w:left="480" w:hanging="480"/>
        <w:jc w:val="both"/>
      </w:pPr>
      <w:r>
        <w:rPr>
          <w:rFonts w:ascii="Times New Roman" w:cs="Times New Roman" w:eastAsia="Times New Roman" w:hAnsi="Times New Roman"/>
          <w:sz w:val="24"/>
          <w:szCs w:val="24"/>
        </w:rPr>
        <w:t xml:space="preserve">Huynh L. D. T., Hoang K., Ongena S. The Impact of Foreign Sanctions on Firm Performance in Russia. CEPR Discussion Paper No. 17415. London: Centre for Economic Policy Research, 2022.</w:t>
      </w:r>
    </w:p>
    <w:p>
      <w:pPr>
        <w:spacing w:after="140" w:line="276" w:lineRule="auto"/>
        <w:ind w:left="480" w:hanging="480"/>
        <w:jc w:val="both"/>
      </w:pPr>
      <w:r>
        <w:rPr>
          <w:rFonts w:ascii="Times New Roman" w:cs="Times New Roman" w:eastAsia="Times New Roman" w:hAnsi="Times New Roman"/>
          <w:sz w:val="24"/>
          <w:szCs w:val="24"/>
        </w:rPr>
        <w:t xml:space="preserve">Kuzyk M. G., Simachev Yu. V. Strategies of Russian companies to adapt to the 2022 sanctions // Journal of the New Economic Association. 2023. No. 3. P. 172–180. DOI: 10.31737/22212264_2023_3_172-180.</w:t>
      </w:r>
    </w:p>
    <w:p>
      <w:pPr>
        <w:spacing w:after="140" w:line="276" w:lineRule="auto"/>
        <w:ind w:left="480" w:hanging="480"/>
        <w:jc w:val="both"/>
      </w:pPr>
      <w:r>
        <w:rPr>
          <w:rFonts w:ascii="Times New Roman" w:cs="Times New Roman" w:eastAsia="Times New Roman" w:hAnsi="Times New Roman"/>
          <w:sz w:val="24"/>
          <w:szCs w:val="24"/>
        </w:rPr>
        <w:t xml:space="preserve">Lee H.-S., Kumo K. The impact of sanctions on firms' financial performance in Russia // Eurasian Business Review. 2025. DOI: 10.1007/s40821-025-00337-3.</w:t>
      </w:r>
    </w:p>
    <w:p>
      <w:pPr>
        <w:spacing w:after="140" w:line="276" w:lineRule="auto"/>
        <w:ind w:left="480" w:hanging="480"/>
        <w:jc w:val="both"/>
      </w:pPr>
      <w:r>
        <w:rPr>
          <w:rFonts w:ascii="Times New Roman" w:cs="Times New Roman" w:eastAsia="Times New Roman" w:hAnsi="Times New Roman"/>
          <w:sz w:val="24"/>
          <w:szCs w:val="24"/>
        </w:rPr>
        <w:t xml:space="preserve">Lin X., Zhang P., Yang Z., Chen S. US sanctions and corporate innovation: evidence from Chinese listed firms // International Review of Economics &amp; Finance. 2025. Vol. 98. Art. 103935. DOI: 10.1016/j.iref.2025.103935.</w:t>
      </w:r>
    </w:p>
    <w:p>
      <w:pPr>
        <w:spacing w:after="140" w:line="276" w:lineRule="auto"/>
        <w:ind w:left="480" w:hanging="480"/>
        <w:jc w:val="both"/>
      </w:pPr>
      <w:r>
        <w:rPr>
          <w:rFonts w:ascii="Times New Roman" w:cs="Times New Roman" w:eastAsia="Times New Roman" w:hAnsi="Times New Roman"/>
          <w:sz w:val="24"/>
          <w:szCs w:val="24"/>
        </w:rPr>
        <w:t xml:space="preserve">Loughran T., McDonald B. When is a liability not a liability? Textual analysis, dictionaries, and 10-Ks // Journal of Finance. 2011. Vol. 66. No. 1. P. 35–65. DOI: 10.1111/j.1540-6261.2010.01625.x.</w:t>
      </w:r>
    </w:p>
    <w:p>
      <w:pPr>
        <w:spacing w:after="140" w:line="276" w:lineRule="auto"/>
        <w:ind w:left="480" w:hanging="480"/>
        <w:jc w:val="both"/>
      </w:pPr>
      <w:r>
        <w:rPr>
          <w:rFonts w:ascii="Times New Roman" w:cs="Times New Roman" w:eastAsia="Times New Roman" w:hAnsi="Times New Roman"/>
          <w:sz w:val="24"/>
          <w:szCs w:val="24"/>
        </w:rPr>
        <w:t xml:space="preserve">Neuenkirch M., Neumeier F. The impact of UN and US economic sanctions on GDP growth // European Journal of Political Economy. 2015. Vol. 40. Part A. P. 110–125. DOI: 10.1016/j.ejpoleco.2015.09.001.</w:t>
      </w:r>
    </w:p>
    <w:p>
      <w:pPr>
        <w:spacing w:after="140" w:line="276" w:lineRule="auto"/>
        <w:ind w:left="480" w:hanging="480"/>
        <w:jc w:val="both"/>
      </w:pPr>
      <w:r>
        <w:rPr>
          <w:rFonts w:ascii="Times New Roman" w:cs="Times New Roman" w:eastAsia="Times New Roman" w:hAnsi="Times New Roman"/>
          <w:sz w:val="24"/>
          <w:szCs w:val="24"/>
        </w:rPr>
        <w:t xml:space="preserve">Osterwalder A., Pigneur Y. Business Model Generation: A Handbook for Visionaries, Game Changers, and Challengers. Hoboken, NJ: John Wiley &amp; Sons, 2010. 288 p.</w:t>
      </w:r>
    </w:p>
    <w:p>
      <w:pPr>
        <w:spacing w:after="140" w:line="276" w:lineRule="auto"/>
        <w:ind w:left="480" w:hanging="480"/>
        <w:jc w:val="both"/>
      </w:pPr>
      <w:r>
        <w:rPr>
          <w:rFonts w:ascii="Times New Roman" w:cs="Times New Roman" w:eastAsia="Times New Roman" w:hAnsi="Times New Roman"/>
          <w:sz w:val="24"/>
          <w:szCs w:val="24"/>
        </w:rPr>
        <w:t xml:space="preserve">Peñarroya-Farell M., Miralles F. Business model adaptation to the COVID-19 crisis: strategic response of the Spanish cultural and creative firms // Journal of Open Innovation: Technology, Market, and Complexity. 2022. Vol. 8. No. 1. Art. 39. DOI: 10.3390/joitmc8010039.</w:t>
      </w:r>
    </w:p>
    <w:p>
      <w:pPr>
        <w:spacing w:after="140" w:line="276" w:lineRule="auto"/>
        <w:ind w:left="480" w:hanging="480"/>
        <w:jc w:val="both"/>
      </w:pPr>
      <w:r>
        <w:rPr>
          <w:rFonts w:ascii="Times New Roman" w:cs="Times New Roman" w:eastAsia="Times New Roman" w:hAnsi="Times New Roman"/>
          <w:sz w:val="24"/>
          <w:szCs w:val="24"/>
        </w:rPr>
        <w:t xml:space="preserve">Radic M., Herrmann P., Haberland P., Riese C. R. Development of a business model resilience framework for managers and strategic decision-makers // Schmalenbach Journal of Business Research. 2022. Vol. 74. No. 4. P. 575–601. DOI: 10.1007/s41471-022-00135-x.</w:t>
      </w:r>
    </w:p>
    <w:p>
      <w:pPr>
        <w:spacing w:after="140" w:line="276" w:lineRule="auto"/>
        <w:ind w:left="480" w:hanging="480"/>
        <w:jc w:val="both"/>
      </w:pPr>
      <w:r>
        <w:rPr>
          <w:rFonts w:ascii="Times New Roman" w:cs="Times New Roman" w:eastAsia="Times New Roman" w:hAnsi="Times New Roman"/>
          <w:sz w:val="24"/>
          <w:szCs w:val="24"/>
        </w:rPr>
        <w:t xml:space="preserve">Sahebalzamani S., Jørgensen E. J. B., Bertella G., Nilsen E. R. A dynamic capabilities approach to business model innovation in times of crisis // Tourism Planning &amp; Development. 2022. Vol. 20. P. 138–161. DOI: 10.1080/21568316.2022.2107560.</w:t>
      </w:r>
    </w:p>
    <w:p>
      <w:pPr>
        <w:spacing w:after="140" w:line="276" w:lineRule="auto"/>
        <w:ind w:left="480" w:hanging="480"/>
        <w:jc w:val="both"/>
      </w:pPr>
      <w:r>
        <w:rPr>
          <w:rFonts w:ascii="Times New Roman" w:cs="Times New Roman" w:eastAsia="Times New Roman" w:hAnsi="Times New Roman"/>
          <w:sz w:val="24"/>
          <w:szCs w:val="24"/>
        </w:rPr>
        <w:t xml:space="preserve">Sanchez R. Strategic flexibility in product competition // Strategic Management Journal. 1995. Vol. 16. Special Issue. P. 135–159. DOI: 10.1002/smj.4250160921.</w:t>
      </w:r>
    </w:p>
    <w:p>
      <w:pPr>
        <w:spacing w:after="140" w:line="276" w:lineRule="auto"/>
        <w:ind w:left="480" w:hanging="480"/>
        <w:jc w:val="both"/>
      </w:pPr>
      <w:r>
        <w:rPr>
          <w:rFonts w:ascii="Times New Roman" w:cs="Times New Roman" w:eastAsia="Times New Roman" w:hAnsi="Times New Roman"/>
          <w:sz w:val="24"/>
          <w:szCs w:val="24"/>
        </w:rPr>
        <w:t xml:space="preserve">Teece D. J. Explicating dynamic capabilities: the nature and microfoundations of (sustainable) enterprise performance // Strategic Management Journal. 2007. Vol. 28. No. 13. P. 1319–1350. DOI: 10.1002/smj.640.</w:t>
      </w:r>
    </w:p>
    <w:p>
      <w:pPr>
        <w:spacing w:after="140" w:line="276" w:lineRule="auto"/>
        <w:ind w:left="480" w:hanging="480"/>
        <w:jc w:val="both"/>
      </w:pPr>
      <w:r>
        <w:rPr>
          <w:rFonts w:ascii="Times New Roman" w:cs="Times New Roman" w:eastAsia="Times New Roman" w:hAnsi="Times New Roman"/>
          <w:sz w:val="24"/>
          <w:szCs w:val="24"/>
        </w:rPr>
        <w:t xml:space="preserve">Teece D. J. Business models, business strategy and innovation // Long Range Planning. 2010. Vol. 43. No. 2–3. P. 172–194. DOI: 10.1016/j.lrp.2009.07.003.</w:t>
      </w:r>
    </w:p>
    <w:p>
      <w:pPr>
        <w:spacing w:after="140" w:line="276" w:lineRule="auto"/>
        <w:ind w:left="480" w:hanging="480"/>
        <w:jc w:val="both"/>
      </w:pPr>
      <w:r>
        <w:rPr>
          <w:rFonts w:ascii="Times New Roman" w:cs="Times New Roman" w:eastAsia="Times New Roman" w:hAnsi="Times New Roman"/>
          <w:sz w:val="24"/>
          <w:szCs w:val="24"/>
        </w:rPr>
        <w:t xml:space="preserve">Teece D. J., Pisano G., Shuen A. Dynamic capabilities and strategic management // Strategic Management Journal. 1997. Vol. 18. No. 7. P. 509–533. DOI: 10.1002/(SICI)1097-0266(199708)18:7&lt;509::AID-SMJ882&gt;3.0.CO;2-Z.</w:t>
      </w:r>
    </w:p>
    <w:p>
      <w:pPr>
        <w:spacing w:after="140" w:line="276" w:lineRule="auto"/>
        <w:ind w:left="480" w:hanging="480"/>
        <w:jc w:val="both"/>
      </w:pPr>
      <w:r>
        <w:rPr>
          <w:rFonts w:ascii="Times New Roman" w:cs="Times New Roman" w:eastAsia="Times New Roman" w:hAnsi="Times New Roman"/>
          <w:sz w:val="24"/>
          <w:szCs w:val="24"/>
        </w:rPr>
        <w:t xml:space="preserve">Wernerfelt B. A resource-based view of the firm // Strategic Management Journal. 1984. Vol. 5. No. 2. P. 171–180. DOI: 10.1002/smj.4250050207.</w:t>
      </w:r>
    </w:p>
    <w:p>
      <w:pPr>
        <w:spacing w:after="140" w:line="276" w:lineRule="auto"/>
        <w:ind w:left="480" w:hanging="480"/>
        <w:jc w:val="both"/>
      </w:pPr>
      <w:r>
        <w:rPr>
          <w:rFonts w:ascii="Times New Roman" w:cs="Times New Roman" w:eastAsia="Times New Roman" w:hAnsi="Times New Roman"/>
          <w:sz w:val="24"/>
          <w:szCs w:val="24"/>
        </w:rPr>
        <w:t xml:space="preserve">Yalcin E., Felbermayr G., Kariem H., Kirilakha A., Kwon O., Syropoulos C., Yotov Y. V. The Global Sanctions Data Base — Release 4: the heterogeneous effects of the sanctions on Russia // The World Economy. 2025. Vol. 48. No. 9. P. 2003–2017. DOI: 10.1111/twec.13732.</w:t>
      </w:r>
    </w:p>
    <w:p>
      <w:pPr>
        <w:spacing w:after="140" w:line="276" w:lineRule="auto"/>
        <w:ind w:left="480" w:hanging="480"/>
        <w:jc w:val="both"/>
      </w:pPr>
      <w:r>
        <w:rPr>
          <w:rFonts w:ascii="Times New Roman" w:cs="Times New Roman" w:eastAsia="Times New Roman" w:hAnsi="Times New Roman"/>
          <w:sz w:val="24"/>
          <w:szCs w:val="24"/>
        </w:rPr>
        <w:t xml:space="preserve">Zott C., Amit R., Massa L. The business model: recent developments and future research // Journal of Management. 2011. Vol. 37. No. 4. P. 1019–1042. DOI: 10.1177/0149206311406265.</w:t>
      </w:r>
    </w:p>
    <w:sectPr>
      <w:footerReference w:type="default" r:id="rId7"/>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1. Теоретические основы и методологические предпосылки оценки влияния санкционных шоков на трансформацию бизнес-модели компаний IT-отрасли</dc:title>
  <dc:creator>Автор диссертационного исследования</dc:creator>
  <cp:lastModifiedBy>Un-named</cp:lastModifiedBy>
  <cp:revision>1</cp:revision>
  <dcterms:created xsi:type="dcterms:W3CDTF">2026-09-04T16:19:28.129Z</dcterms:created>
  <dcterms:modified xsi:type="dcterms:W3CDTF">2026-09-04T16:19:28.129Z</dcterms:modified>
</cp:coreProperties>
</file>

<file path=docProps/custom.xml><?xml version="1.0" encoding="utf-8"?>
<Properties xmlns="http://schemas.openxmlformats.org/officeDocument/2006/custom-properties" xmlns:vt="http://schemas.openxmlformats.org/officeDocument/2006/docPropsVTypes"/>
</file>