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CAPM, DCAPM и модель Фама–Френча на российском фондовом рынке: сравнительная оценка точности прогнозирования доходности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Орлова А. Д.</w:t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Санкт-Петербургский государственный университет, Санкт-Петербург, Россия</w:t>
      </w:r>
    </w:p>
    <w:p>
      <w:pPr>
        <w:spacing w:after="160" w:line="36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JEL: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G11, G12, C58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Аннотация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Оценка ожидаемой доходности акций остаётся одной из ключевых задач инвестиционного анализа, и модель CAPM по-прежнему выступает базовым инструментом её решения, несмотря на широко документированное расхождение её предпосылок — симметричность риска, единственный систематический фактор, однородные ожидания инвесторов — с условиями функционирования развивающихся рынков. Цель работы состоит в сравнении точности прогнозирования доходности классической модели CAPM и двух её модификаций: модели с учётом асимметрии риска (DCAPM) и трёхфакторной модели Фама–Френча, адаптированной для развивающихся рынков. Апробация выполнена на выборке из десяти крупнейших российских публичных компаний по месячным данным за период с марта 2021 по январь 2025 г. относительно индекса RTSI; точность моделей оценивается через процентное отклонение прогнозной доходности от фактической и среднее абсолютное отклонение (MAD). Установлено, что модель DCAPM демонстрирует наименьшее отклонение (MAD = 1,92%) против 3,27% у модели Фама–Френча и 5,23% у классической CAPM, которая систематически занижает доходность, особенно для акций сырьевых экспортёров. Результаты свидетельствуют о предпочтительности спецификаций, учитывающих асимметрию риска, для прикладной оценки доходности на российском рынке акций и уточняют границы применимости классической модели в условиях повышенной волатильности.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Ключевые слова: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модель CAPM; DCAPM; трёхфакторная модель Фама–Френча; бета-коэффициент; асимметрия риска; полудисперсия; российский фондовый рынок; развивающиеся рынки; точность прогнозирования; среднее абсолютное отклонение.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Оценка ожидаемой доходности финансового актива относительно принимаемого инвестором риска остаётся одной из центральных задач корпоративных финансов и инвестиционного анализа: от её решения зависят оценка стоимости капитала компании, построение инвестиционных портфелей и обоснование ставок дисконтирования. Начиная с формализации однофакторной модели ценообразования капитальных активов (CAPM) У. Шарпом, Дж. Линтнером и Дж. Трейнором на основе портфельной теории Г. Марковица, связь ожидаемой доходности актива с его систематическим (недиверсифицируемым) риском, измеряемым бета-коэффициентом, стала базовым инструментом такой оценки.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Вместе с тем предпосылки, на которых построена классическая CAPM, — однородность ожиданий инвесторов, отсутствие транзакционных издержек и налогов, симметричность риска, измеряемого дисперсией доходности, достаточность единственного рыночного фактора для объяснения доходности — уже в 1970–1990-е годы были поставлены под сомнение эмпирическими исследованиями. Была показана нестабильность бета-коэффициента во времени, ограниченная объяснительная сила однофакторной модели для кросс-секционных различий доходности между компаниями разного размера, а также несоответствие модели поведению инвесторов, которые реагируют на потери сильнее, чем на симметричные выигрыши.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ответ на эти ограничения сложились два самостоятельных направления модификации CAPM. Первое переопределяет риск асимметрично — через полудисперсию (semivariance), то есть колебания доходности ниже среднего или целевого уровня; на этой основе построена модель DCAPM, для которой показана более высокая объяснительная сила именно на развивающихся рынках, характеризующихся повышенной волатильностью и скошенностью распределения доходностей. Второе направление расширяет число систематических факторов: трёхфакторная модель Фама–Френча добавляет к рыночному риску премии за размер компании и за соотношение балансовой и рыночной стоимости.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Российский фондовый рынок обладает структурными особенностями — высокой концентрацией капитализации в сырьевых и подсанкционных эмитентах, повышенной и изменяющейся во времени волатильностью, чувствительностью к геополитическим шокам, — которые потенциально усиливают именно те отклонения от предпосылок CAPM, что послужили основанием для разработки DCAPM и модели Фама–Френча. Однако прямое сопоставление точности прогнозирования этих моделей на едином массиве данных и по единому критерию для российского рынка представлено ограниченно: большинство отечественных прикладных работ тестируют одну модель изолированно либо опираются на критерии статистической значимости коэффициентов без сопоставления точности точечного прогноза доходности между моделями.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Соответственно, научная проблема состоит в отсутствии систематического сравнения прогностической точности классической CAPM и двух альтернативных спецификаций — учитывающей асимметрию риска и учитывающей дополнительные систематические факторы — на общей выборке российских компаний и по общему критерию точности, что не позволяет дать обоснованную практическую рекомендацию о выборе модели для оценки ожидаемой доходности в условиях российского рынка.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работе решается эта задача: строятся и сопоставляются классическая модель CAPM, модель DCAPM и адаптированная для развивающихся рынков трёхфакторная модель Фама–Френча на месячных данных десяти крупных российских эмитентов за период с марта 2021 по январь 2025 г. относительно индекса RTSI; точность моделей оценивается через отклонение прогнозной доходности от фактически полученной и через среднее абсолютное отклонение, на основании чего формулируется вывод о предпочтительной спецификации для практической оценки доходности акций на российском рынке.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Теоретические основы и постановка проблемы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Модель CAPM формализует связь ожидаемой доходности актива с его систематическим риском, опираясь на портфельную теорию Г. Марковица (Markowitz, 1952):</w:t>
      </w:r>
    </w:p>
    <w:p>
      <w:pPr>
        <w:tabs>
          <w:tab w:val="right" w:pos="9350"/>
        </w:tabs>
        <w:spacing w:after="12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cov(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σ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(1)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Re — ожидаемая доходность актива; Rf — безрисковая ставка; Rm — доходность рыночного портфеля (индекса); β — бета-коэффициент, отражающий чувствительность доходности актива к колебаниям рынка. Экономический смысл слагаемого β(Rm − Rf) состоит в рыночной премии за риск — компенсации, которую инвестор требует за принятие систематического риска сверх безрисковой ставки (Берзон, Володин, 2010). Модель опирается на ряд предпосылок: рациональность и однородность ожиданий инвесторов, отсутствие транзакционных издержек и налогов, возможность неограниченного кредитования и заимствования по безрисковой ставке, достаточность единственного систематического фактора и измерение риска дисперсией доходности (Шарп и др., 1997; Аскинадзи, Максимова, 2024).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Эмпирическая проверка этих предпосылок с 1970-х годов выявила их системные нарушения: бета-коэффициент, оцениваемый по ретроспективным данным, не является устойчивым во времени (Levy, 1971; Blume, 1975); однофакторная спецификация не объясняет наблюдаемые аномалии доходности, связанные с размером компании и соотношением балансовой и рыночной стоимости (Fama, French, 1993); тестируемость самой модели ограничена ненаблюдаемостью истинного рыночного портфеля (Roll, 1977). Отдельная линия критики связана с симметричностью меры риска: ещё А. Рой (Roy, 1952), предложивший принцип «safety first», показал, что инвесторы оценивают не общую волатильность, а прежде всего риск снижения доходности ниже приемлемого уровня.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Развитие этой идеи привело к построению модели DCAPM. У. Хоган и Дж. Уоррен (Hogan, Warren, 1974) предложили определять бета-коэффициент через полудисперсию, В. Харлоу и Р. Роу (Harlow, Rao, 1989) — через ковариацию отклонений доходности актива и рынка ниже их средних значений, а Х. Эстрада (Estrada, 2002; 2007) завершил построение модифицированного бета-коэффициента и показал на выборке развивающихся рынков, что модель, учитывающая только риск снижения доходности, обладает более высокой объяснительной силой, чем классическая CAPM, — именно в силу повышенной волатильности и асимметрии доходностей, характерных для таких рынков.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Альтернативное направление модификации связано не с переопределением риска, а с расширением числа систематических факторов. Ю. Фама и К. Френч (Fama, French, 1993; 2003) показали, что доходность акций последовательно связана также с размером компании (фактор SMB) и соотношением балансовой и рыночной стоимости (фактор HML), и предложили трёхфакторную модель. Поскольку факторы SMB и HML были первоначально рассчитаны для рынка США, для применения модели на развивающихся рынках используются соответствующие региональные факторы (в частности, факторы для развивающихся рынков из базы данных К. Френча).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Таким образом, DCAPM и модель Фама–Френча устраняют разные ограничения классической CAPM — асимметрию риска и недостаточность единственного фактора соответственно — и являются не конкурирующими, а взаимодополняющими направлениями её развития. Это делает содержательным их прямое эмпирическое сопоставление на данных одного рынка: такое сравнение показывает не то, какая модель теоретически «более полна», а то, какой источник отклонения от CAPM — асимметрия риска или пропущенные факторы — эмпирически более значим для конкретного рынка. Для российского рынка, тестировавшегося преимущественно по отдельности для каждой модели (см. также недавние работы Н. А. Манушкина (Manushkin, 2024), М. И. Черновой и Т. Р. Ахметзянова (Chernova, Akhmetzyanov, 2025) и Н. Хана (Khan, 2026)), подобное прямое сопоставление на едином массиве данных ранее не проводилось.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Методика исследования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2.1. Данные и выборка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выборку включены обыкновенные акции десяти крупных российских компаний, торгующихся на Московской бирже и представляющих ключевые секторы экономики: ПАО «Яндекс» (YDEX), «Русал» (RUAL), ПАО «Аэрофлот» (AFLT), ПАО Сбербанк (SBER), ПАО «КАМАЗ» (KMAZ), Банк ВТБ (ПАО) (VTBR), ПАО «Артген» (ABIO), ПАО «ЛУКОЙЛ» (LKOH), ПАО «Газпром» (GAZP) и ПАО «НОВАТЭК» (NVTK). Единица наблюдения — месячная доходность акции. Период наблюдения — с 1 марта 2021 г. по 1 января 2025 г., что охватывает как относительно стабильную часть рынка, так и период резкого санкционного шока 2022 г. и последующей адаптации к нему. В качестве рыночного бенчмарка использован индекс RTSI (индекс РТС Московской биржи, номинированный в долларах США) — старейший и наиболее широко используемый индикатор состояния российского рынка акций в целом.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2.2. Спецификации моделей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Ожидаемая доходность по классической модели CAPM рассчитывается относительно индекса RTSI:</w:t>
      </w:r>
    </w:p>
    <w:p>
      <w:pPr>
        <w:tabs>
          <w:tab w:val="right" w:pos="9350"/>
        </w:tabs>
        <w:spacing w:after="12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·(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  <w:vertAlign w:val="subscript"/>
        </w:rPr>
        <w:t xml:space="preserve">RTSI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(2)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Модель DCAPM сохраняет форму уравнения (2), но заменяет классический бета-коэффициент модифицированным коэффициентом βᵢ, учитывающим только совместные отклонения доходности актива и рынка ниже их средних значений (μi и μRTSI):</w:t>
      </w:r>
    </w:p>
    <w:p>
      <w:pPr>
        <w:tabs>
          <w:tab w:val="right" w:pos="9350"/>
        </w:tabs>
        <w:spacing w:after="12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β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cov[min(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μ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0)·min(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  <w:vertAlign w:val="subscript"/>
        </w:rPr>
        <w:t xml:space="preserve">RTSI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  <w:vertAlign w:val="subscript"/>
        </w:rPr>
        <w:t xml:space="preserve">RTSI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0)] / var[min(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  <w:vertAlign w:val="subscript"/>
        </w:rPr>
        <w:t xml:space="preserve">RTSI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  <w:vertAlign w:val="subscript"/>
        </w:rPr>
        <w:t xml:space="preserve">RTSI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, 0)]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(3)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Трёхфакторная модель Фама–Френча, адаптированная для развивающихся рынков, дополняет рыночный фактор факторами размера и стоимости, рассчитанными для группы развивающихся рынков (EM):</w:t>
      </w:r>
    </w:p>
    <w:p>
      <w:pPr>
        <w:tabs>
          <w:tab w:val="right" w:pos="9350"/>
        </w:tabs>
        <w:spacing w:after="12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  <w:vertAlign w:val="subscript"/>
        </w:rPr>
        <w:t xml:space="preserve">m,EM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·(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  <w:vertAlign w:val="subscript"/>
        </w:rPr>
        <w:t xml:space="preserve">m,EM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f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)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  <w:vertAlign w:val="subscript"/>
        </w:rPr>
        <w:t xml:space="preserve">SMB,EM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·SMB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  <w:vertAlign w:val="subscript"/>
        </w:rPr>
        <w:t xml:space="preserve">EM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  <w:vertAlign w:val="subscript"/>
        </w:rPr>
        <w:t xml:space="preserve">HML,EM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·HML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  <w:vertAlign w:val="subscript"/>
        </w:rPr>
        <w:t xml:space="preserve">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(4)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Во всех трёх моделях Rf — безрисковая ставка, приведённая к частоте наблюдений; расчёт выполнен по единой выборке и единому периоду наблюдения, что обеспечивает сопоставимость результатов между моделями.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2.3. Критерии оценки точности прогнозирования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Точность каждой модели оценивается путём сопоставления ожидаемой (расчётной) доходности Rt с фактически полученной доходностью Rr за тот же период по двум показателям. Во-первых, процентное отклонение по каждой акции:</w:t>
      </w:r>
    </w:p>
    <w:p>
      <w:pPr>
        <w:tabs>
          <w:tab w:val="right" w:pos="9350"/>
        </w:tabs>
        <w:spacing w:after="120" w:before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Deviation = |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|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vertAlign w:val="subscript"/>
        </w:rPr>
        <w:t xml:space="preserve">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× 100%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(5)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Во-вторых, среднее абсолютное отклонение (MAD) — усреднённый по всем десяти акциям показатель точности каждой модели, позволяющий ранжировать модели между собой: чем ниже значение MAD, тем точнее модель воспроизводит фактически наблюдаемую доходность. Использованный подход к сопоставлению прогнозных и фактических значений методологически соотносится с практикой оценки эффективности управления инвестиционными портфелями (Абрамов, Радыгин, Чернова, 2019).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Таблица 1 — Архитектура сопоставления моделей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200"/>
        <w:gridCol w:w="2100"/>
      </w:tblGrid>
      <w:tr>
        <w:trPr>
          <w:tblHeader/>
        </w:trPr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3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Экономический смысл</w:t>
            </w:r>
          </w:p>
        </w:tc>
        <w:tc>
          <w:tcPr>
            <w:tcW w:type="dxa" w:w="32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Операционализация</w:t>
            </w:r>
          </w:p>
        </w:tc>
        <w:tc>
          <w:tcPr>
            <w:tcW w:type="dxa" w:w="21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Роль в сопоставлении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CAPM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Систематический (рыночный) риск, симметричная дисперсия доходности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β = cov(Ri,Rm)/σ²m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Базовая (эталонная) модель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DCAPM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Асимметричный риск снижения доходности (полудисперсия)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βᵢ = cov[min(Ri−μi,0)·min(Rm−μm,0)] / var[min(Rm−μm,0)]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Модификация 1 — учёт асимметрии риска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Фама–Френч (EM)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Рыночный риск + размер компании (SMB) + стоимость (HML)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Re=Rf+βm(Rm−Rf)+βSMB·SMB+βHML·HML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Модификация 2 — учёт дополнительных факторов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Критерии точности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Соответствие расчётной доходности фактической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0"/>
                <w:szCs w:val="20"/>
              </w:rPr>
              <w:t xml:space="preserve">Deviation = |Rt−Rr|/Rr×100%; MAD по 10 акциям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Сопоставление и ранжирование моделей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Результаты апробации на российском рынке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3.1. Оценка риска и ожидаемой доходности по моделям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Расчёт бета-коэффициентов по формулам (2)–(4) выявил принципиальное различие в ранжировании компаний по риску между моделями. Для классической CAPM максимальные значения беты зафиксированы для AFLT (0,74) и ABIO (0,71), минимальные — для VTBR (0,04) и SBER (0,06); для DCAPM ранжирование иное: наиболее чувствительны к нисходящим движениям рынка YDEX (0,32) и LKOH (0,32), тогда как RUAL, KMAZ, SBER, ABIO и NVTK демонстрируют модифицированную бету ниже 0,06. Это расхождение показательно само по себе: оценка риска, основанная на общей волатильности, и оценка, основанная на риске снижения доходности, дают разные представления об относительной рискованности одних и тех же активов, что закономерно отражается на прогнозных значениях доходности и на итоговой точности моделей (табл. 1).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3.2. Сопоставление прогнозной и фактической доходности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Сопоставление расчётной доходности с фактически полученной по каждой из десяти акций показывает систематическое смещение классической модели CAPM в сторону занижения доходности: расчётные значения оказались ниже фактических для девяти акций из десяти, при этом наибольший разрыв зафиксирован для GAZP (5,64% против 21,32% фактических) и NVTK (5,53% против 18,78%) — компаний-экспортёров, доходность которых в рассматриваемый период определялась в том числе динамикой сырьевых цен и последствиями внешних ограничений, не улавливаемыми единственным рыночным фактором модели. Модель DCAPM воспроизводит фактическую доходность заметно точнее: для пяти из десяти акций (RUAL, SBER, AFLT, GAZP, NVTK) отклонение не превышает 15%, а для RUAL, YDEX, VTBR и KMAZ расчётные значения отличаются от фактических менее чем на 6 п.п. Модель Фама–Френча показывает промежуточный результат: точность выше, чем у классической CAPM, за счёт учёта факторов размера и стоимости, но ниже, чем у DCAPM, — в частности, для LKOH и ABIO модель, напротив, заметно завышает ожидаемую доходность относительно фактической.</w:t>
      </w:r>
    </w:p>
    <w:p>
      <w:pPr>
        <w:pStyle w:val="Heading2"/>
        <w:spacing w:after="120" w:before="22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3.3. Сравнение точности моделей</w:t>
      </w:r>
    </w:p>
    <w:p>
      <w:pPr>
        <w:spacing w:after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0"/>
          <w:szCs w:val="20"/>
        </w:rPr>
        <w:t xml:space="preserve">Таблица 2 — Отклонение прогнозной доходности от фактической по моделям, %</w:t>
      </w:r>
    </w:p>
    <w:tbl>
      <w:tblPr>
        <w:tblW w:type="dxa" w:w="5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50"/>
        <w:gridCol w:w="1550"/>
        <w:gridCol w:w="155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Тикер</w:t>
            </w:r>
          </w:p>
        </w:tc>
        <w:tc>
          <w:tcPr>
            <w:tcW w:type="dxa" w:w="15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CAPM</w:t>
            </w:r>
          </w:p>
        </w:tc>
        <w:tc>
          <w:tcPr>
            <w:tcW w:type="dxa" w:w="15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DCAPM</w:t>
            </w:r>
          </w:p>
        </w:tc>
        <w:tc>
          <w:tcPr>
            <w:tcW w:type="dxa" w:w="15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Фама–Френч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YDEX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63,12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9,17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23,88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RUAL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38,21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1,43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22,75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AFLT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47,28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14,37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35,74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SBER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3,20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3,28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6,75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KMAZ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50,14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5,84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12,81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VTBR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8,82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6,13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9,10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ABIO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36,39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60,85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42,66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LKOH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3,80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27,30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50,01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GAZP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73,54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31,48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44,63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NVTK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70,55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14,30</w:t>
            </w:r>
          </w:p>
        </w:tc>
        <w:tc>
          <w:tcPr>
            <w:tcW w:type="dxa" w:w="15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33,90</w:t>
            </w:r>
          </w:p>
        </w:tc>
      </w:tr>
      <w:t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MAD</w:t>
            </w:r>
          </w:p>
        </w:tc>
        <w:tc>
          <w:tcPr>
            <w:tcW w:type="dxa" w:w="15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5,23</w:t>
            </w:r>
          </w:p>
        </w:tc>
        <w:tc>
          <w:tcPr>
            <w:tcW w:type="dxa" w:w="15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1,92</w:t>
            </w:r>
          </w:p>
        </w:tc>
        <w:tc>
          <w:tcPr>
            <w:tcW w:type="dxa" w:w="15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3,27</w:t>
            </w:r>
          </w:p>
        </w:tc>
      </w:tr>
    </w:tbl>
    <w:p>
      <w:pPr>
        <w:spacing w:after="160" w:before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Примечание: Deviation рассчитан по формуле (5); MAD — среднее абсолютное отклонение по выборке из 10 акций (чем ниже значение, тем точнее модель).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Итоговое ранжирование моделей по среднему абсолютному отклонению (MAD) свидетельствует, что модель DCAPM обеспечивает наиболее точный прогноз доходности на рассматриваемой выборке (MAD = 1,92%), опережая трёхфакторную модель Фама–Френча (MAD = 3,27%) и существенно превосходя классическую CAPM (MAD = 5,23%). Такое ранжирование согласуется с теоретическим объяснением: асимметрия доходностей и повышенная волатильность, характерные для российского рынка в рассматриваемый период, лучше улавливаются мерой риска, основанной на полудисперсии, чем симметричной дисперсией или дополнительными, но по-прежнему симметричными факторами размера и стоимости. Показательно, что наибольшие отклонения всех трёх моделей приходятся на одни и те же бумаги — GAZP и NVTK, — что указывает на наличие специфического для этих компаний источника доходности, вероятно связанного с динамикой сырьевых рынков и адресными внешними ограничениями и не объясняемого ни рыночным бета-фактором, ни факторами размера и стоимости в их текущей операционализации.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работе выполнено прямое сопоставление прогностической точности классической модели CAPM и двух её модификаций — DCAPM и трёхфакторной модели Фама–Френча, адаптированной для развивающихся рынков, — на едином массиве данных о доходности десяти крупных российских компаний за период с марта 2021 по январь 2025 г. и по единому критерию точности.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Апробация показала, что модель DCAPM, определяющая риск через полудисперсию доходности ниже среднего уровня, обеспечивает наиболее точное соответствие расчётной и фактической доходности (среднее абсолютное отклонение 1,92% против 3,27% у модели Фама–Френча и 5,23% у классической CAPM), которая, в свою очередь, систематически занижает доходность, особенно для акций сырьевых экспортёров. Научный вклад работы состоит в получении сопоставимой эмпирической оценки трёх моделей на общей выборке и по общему критерию, что ранее для российского рынка представлено не было, и в содержательном объяснении полученного ранжирования через структурные особенности рынка — повышенную волатильность и асимметрию доходностей, усиленные внешними ограничениями для отдельных эмитентов.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Полученные результаты имеют практическое значение для оценки стоимости капитала и ожидаемой доходности на российском рынке, указывая на предпочтительность спецификаций, учитывающих асимметрию риска, перед классической CAPM. Вместе с тем результаты ограничены небольшим размером выборки (десять компаний, представляющих преимущественно крупную капитализацию), использованием единственного рыночного бенчмарка и единственного, структурно неоднородного окна наблюдения, включающего как период до шока 2022 г., так и последующую адаптацию к нему, а также отсутствием формальных статистических тестов согласия моделей (в частности, теста Гиббонса–Росса–Шанкена, применённого для российского рынка в работе Н. А. Манушкина (Manushkin, 2024)): используемые показатели отклонения и MAD носят описательный, а не статистически-выводной характер.</w:t>
      </w:r>
    </w:p>
    <w:p>
      <w:pPr>
        <w:spacing w:after="160" w:line="360"/>
        <w:ind w:firstLine="5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Дальнейшие исследования должны быть направлены на расширение выборки за счёт компаний разной капитализации и отраслевой принадлежности, применение скользящих окон оценивания и вневыборочной проверки прогнозов, построение факторов SMB и HML непосредственно по российским данным вместо агрегированных факторов для развивающихся рынков, а также на формальную статистическую проверку различий в точности моделей. Отдельного внимания требует устойчивость выявленного ранжирования по мере накопления данных за пределами рассмотренного периода: поскольку адаптация российских компаний к изменившимся внешним условиям носит продолжающийся характер, оценка на более длительном последующем периоде наблюдения позволит проверить, является ли преимущество DCAPM устойчивой характеристикой российского рынка или отражает особенности именно рассмотренного периода.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литературы</w:t>
      </w:r>
    </w:p>
    <w:p>
      <w:pPr>
        <w:spacing w:after="100" w:line="300"/>
        <w:ind w:left="500" w:hanging="5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Blume M. E. Betas and their regression tendencies // The Journal of Finance. 1975. Vol. 30, No. 3. P. 785–795.</w:t>
      </w:r>
    </w:p>
    <w:p>
      <w:pPr>
        <w:spacing w:after="100" w:line="300"/>
        <w:ind w:left="500" w:hanging="5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Chernova M., Akhmetzyanov T. Evolution of Factor Pricing Models and Their Application in the Russian Financial Market // Journal of Corporate Finance Research (Корпоративные финансы). 2025. Vol. 19, No. 2.</w:t>
      </w:r>
    </w:p>
    <w:p>
      <w:pPr>
        <w:spacing w:after="100" w:line="300"/>
        <w:ind w:left="500" w:hanging="5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Estrada J. Systematic risk in emerging markets: the D-CAPM // Emerging Markets Review. 2002. Vol. 3. P. 365–379.</w:t>
      </w:r>
    </w:p>
    <w:p>
      <w:pPr>
        <w:spacing w:after="100" w:line="300"/>
        <w:ind w:left="500" w:hanging="5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Estrada J. Mean-semivariance behavior: Downside risk and capital asset pricing // International Review of Economics and Finance. 2007. Vol. 16, Issue 2. P. 169–185.</w:t>
      </w:r>
    </w:p>
    <w:p>
      <w:pPr>
        <w:spacing w:after="100" w:line="300"/>
        <w:ind w:left="500" w:hanging="5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Fama E. F., French K. R. Common risk factors in the returns on stocks and bonds // Journal of Financial Economics. 1993. Vol. 33. P. 3–56.</w:t>
      </w:r>
    </w:p>
    <w:p>
      <w:pPr>
        <w:spacing w:after="100" w:line="300"/>
        <w:ind w:left="500" w:hanging="5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Fama E. F., French K. R. The Capital Asset Pricing Model: Theory and Evidence // Journal of Economic Perspectives. 2003. Vol. 18, No. 3. P. 25–46.</w:t>
      </w:r>
    </w:p>
    <w:p>
      <w:pPr>
        <w:spacing w:after="100" w:line="300"/>
        <w:ind w:left="500" w:hanging="5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Harlow W. V., Rao R. K. Asset Pricing in a Generalized Mean-Lower Partial Moment Framework: Theory and Evidence // The Journal of Financial and Quantitative Analysis. 1989. Vol. 24, Issue 3. P. 285–311.</w:t>
      </w:r>
    </w:p>
    <w:p>
      <w:pPr>
        <w:spacing w:after="100" w:line="300"/>
        <w:ind w:left="500" w:hanging="5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Hogan W. W., Warren J. M. Toward the Development of an Equilibrium Capital-Market Model Based on Semivariance // The Journal of Financial and Quantitative Analysis. 1974. Vol. 9, Issue 1. P. 1–11.</w:t>
      </w:r>
    </w:p>
    <w:p>
      <w:pPr>
        <w:spacing w:after="100" w:line="300"/>
        <w:ind w:left="500" w:hanging="5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9. Khan N. Evaluating the resilience of asset pricing models during crises: evidence from Russia's economic recession, COVID-19 pandemic, and the Russia–Ukraine war // SN Business &amp; Economics. 2026. Vol. 6, Art. 185.</w:t>
      </w:r>
    </w:p>
    <w:p>
      <w:pPr>
        <w:spacing w:after="100" w:line="300"/>
        <w:ind w:left="500" w:hanging="5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10. Levy R. A. On the Short-Term Stationarity of Beta Coefficient // Financial Analysts Journal. 1971. Vol. 27, No. 6. P. 55–62.</w:t>
      </w:r>
    </w:p>
    <w:p>
      <w:pPr>
        <w:spacing w:after="100" w:line="300"/>
        <w:ind w:left="500" w:hanging="5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11. Manushkin N. A. Application of Fama-French Five Factor Model on the Russian Market: WP BRP 95/FE/2024. Moscow: National Research University Higher School of Economics, 2024.</w:t>
      </w:r>
    </w:p>
    <w:p>
      <w:pPr>
        <w:spacing w:after="100" w:line="300"/>
        <w:ind w:left="500" w:hanging="5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12. Markowitz H. M. Portfolio Selection // The Journal of Finance. 1952. Vol. 7, Issue 3. P. 77–91.</w:t>
      </w:r>
    </w:p>
    <w:p>
      <w:pPr>
        <w:spacing w:after="100" w:line="300"/>
        <w:ind w:left="500" w:hanging="5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13. Roll R. A Critique of the Asset Pricing Theory's Tests. Part I: On Past and Potential Testability of the Theory // Journal of Financial Economics. 1977. Vol. 4, Issue 2. P. 129–176.</w:t>
      </w:r>
    </w:p>
    <w:p>
      <w:pPr>
        <w:spacing w:after="100" w:line="300"/>
        <w:ind w:left="500" w:hanging="5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14. Roy A. D. Safety First and the Holding of Assets // Econometrica. 1952. Vol. 20, No. 3. P. 431–449.</w:t>
      </w:r>
    </w:p>
    <w:p>
      <w:pPr>
        <w:spacing w:after="100" w:line="300"/>
        <w:ind w:left="500" w:hanging="5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15. Абрамов А. Е., Радыгин А. Д., Чернова М. И. Эффективность управления портфелями паевых инвестиционных фондов акций и её оценка // Экономическая политика. 2019. № 4.</w:t>
      </w:r>
    </w:p>
    <w:p>
      <w:pPr>
        <w:spacing w:after="100" w:line="300"/>
        <w:ind w:left="500" w:hanging="5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16. Аскинадзи В. М., Максимова В. Ф. Инвестиции: учебник для вузов. 3-е изд. М.: Юрайт, 2024. 386 с.</w:t>
      </w:r>
    </w:p>
    <w:p>
      <w:pPr>
        <w:spacing w:after="100" w:line="300"/>
        <w:ind w:left="500" w:hanging="5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17. Берзон Н. И., Володин С. Н. Оценка финансовых активов по критерию «риск – доходность» с учётом длительности инвестирования // Экономический журнал ВШЭ. 2010. № 3.</w:t>
      </w:r>
    </w:p>
    <w:p>
      <w:pPr>
        <w:spacing w:after="100" w:line="300"/>
        <w:ind w:left="500" w:hanging="50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18. Шарп У. Ф., Александер Г. Дж., Бэйли Дж. В. Инвестиции: пер. с англ. М.: ИНФРА-М, 1997. 1024 с.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2026-09-04T20:13:52.288Z</dcterms:created>
  <dcterms:modified xsi:type="dcterms:W3CDTF">2026-09-04T20:13:52.289Z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