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6E1E" w:rsidRDefault="00000000" w:rsidP="001F4F79">
      <w:r>
        <w:t xml:space="preserve">УДК </w:t>
      </w:r>
      <w:r w:rsidR="00FF6E1E" w:rsidRPr="00FF6E1E">
        <w:t>336.763.218</w:t>
      </w:r>
    </w:p>
    <w:p w:rsidR="00095322" w:rsidRPr="00710521" w:rsidRDefault="00000000" w:rsidP="001F4F79">
      <w:pPr>
        <w:rPr>
          <w:rFonts w:ascii="TimesNewRomanPS" w:hAnsi="TimesNewRomanPS"/>
          <w:b/>
          <w:bCs/>
          <w:color w:val="001E5E"/>
        </w:rPr>
      </w:pPr>
      <w:r w:rsidRPr="001F4F79">
        <w:rPr>
          <w:rFonts w:ascii="TimesNewRomanPS" w:hAnsi="TimesNewRomanPS"/>
          <w:b/>
          <w:bCs/>
          <w:color w:val="001E5E"/>
        </w:rPr>
        <w:t>CAPM, DCAPM И МОДЕЛЬ ФАМА</w:t>
      </w:r>
      <w:r w:rsidR="00255002" w:rsidRPr="00255002">
        <w:rPr>
          <w:rFonts w:ascii="TimesNewRomanPS" w:hAnsi="TimesNewRomanPS"/>
          <w:b/>
          <w:bCs/>
          <w:color w:val="001E5E"/>
        </w:rPr>
        <w:t>–</w:t>
      </w:r>
      <w:r w:rsidRPr="001F4F79">
        <w:rPr>
          <w:rFonts w:ascii="TimesNewRomanPS" w:hAnsi="TimesNewRomanPS"/>
          <w:b/>
          <w:bCs/>
          <w:color w:val="001E5E"/>
        </w:rPr>
        <w:t>ФРЕНЧА НА РОССИЙСКОМ ФОНДОВОМ РЫНКЕ: СРАВНИТЕЛЬНАЯ ОЦЕНКА ТОЧНОСТИ ПРОГНОЗИРОВАНИЯ ДОХОДНОСТИ</w:t>
      </w:r>
      <w:r w:rsidR="00710521" w:rsidRPr="00710521">
        <w:rPr>
          <w:rFonts w:ascii="TimesNewRomanPS" w:hAnsi="TimesNewRomanPS"/>
          <w:b/>
          <w:bCs/>
          <w:color w:val="001E5E"/>
        </w:rPr>
        <w:t xml:space="preserve"> </w:t>
      </w:r>
      <w:r w:rsidR="00710521">
        <w:rPr>
          <w:rFonts w:ascii="TimesNewRomanPS" w:hAnsi="TimesNewRomanPS"/>
          <w:b/>
          <w:bCs/>
          <w:color w:val="001E5E"/>
        </w:rPr>
        <w:t>АКЦИЙ</w:t>
      </w:r>
    </w:p>
    <w:p w:rsidR="00095322" w:rsidRPr="00852F3C" w:rsidRDefault="00000000">
      <w:pPr>
        <w:rPr>
          <w:rFonts w:ascii="TimesNewRomanPS" w:hAnsi="TimesNewRomanPS"/>
          <w:b/>
          <w:bCs/>
          <w:color w:val="001E5E"/>
        </w:rPr>
      </w:pPr>
      <w:r w:rsidRPr="00852F3C">
        <w:rPr>
          <w:rFonts w:ascii="TimesNewRomanPS" w:hAnsi="TimesNewRomanPS"/>
          <w:b/>
          <w:bCs/>
          <w:color w:val="001E5E"/>
        </w:rPr>
        <w:t xml:space="preserve">Орлова А.Д. </w:t>
      </w:r>
      <w:r w:rsidRPr="00852F3C">
        <w:rPr>
          <w:rFonts w:ascii="TimesNewRomanPS" w:hAnsi="TimesNewRomanPS"/>
          <w:color w:val="001E5E"/>
        </w:rPr>
        <w:t xml:space="preserve">(студент, </w:t>
      </w:r>
      <w:r w:rsidR="00547686" w:rsidRPr="00852F3C">
        <w:rPr>
          <w:rFonts w:ascii="TimesNewRomanPS" w:hAnsi="TimesNewRomanPS"/>
          <w:color w:val="001E5E"/>
        </w:rPr>
        <w:t>ИТМО</w:t>
      </w:r>
      <w:r w:rsidRPr="00852F3C">
        <w:rPr>
          <w:rFonts w:ascii="TimesNewRomanPS" w:hAnsi="TimesNewRomanPS"/>
          <w:color w:val="001E5E"/>
        </w:rPr>
        <w:t>)</w:t>
      </w:r>
    </w:p>
    <w:p w:rsidR="00095322" w:rsidRPr="00852F3C" w:rsidRDefault="00000000" w:rsidP="001F4F79">
      <w:pPr>
        <w:rPr>
          <w:rFonts w:ascii="TimesNewRomanPS" w:hAnsi="TimesNewRomanPS"/>
          <w:b/>
          <w:bCs/>
          <w:color w:val="001E5E"/>
        </w:rPr>
      </w:pPr>
      <w:r w:rsidRPr="00852F3C">
        <w:rPr>
          <w:rFonts w:ascii="TimesNewRomanPS" w:hAnsi="TimesNewRomanPS"/>
          <w:b/>
          <w:bCs/>
          <w:color w:val="001E5E"/>
        </w:rPr>
        <w:t xml:space="preserve">Научный руководитель: канд. экон. наук, доцент </w:t>
      </w:r>
      <w:r w:rsidR="008A73C2" w:rsidRPr="00852F3C">
        <w:rPr>
          <w:rFonts w:ascii="TimesNewRomanPS" w:hAnsi="TimesNewRomanPS"/>
          <w:b/>
          <w:bCs/>
          <w:color w:val="001E5E"/>
        </w:rPr>
        <w:t>Канунникова</w:t>
      </w:r>
      <w:r w:rsidRPr="00852F3C">
        <w:rPr>
          <w:rFonts w:ascii="TimesNewRomanPS" w:hAnsi="TimesNewRomanPS"/>
          <w:b/>
          <w:bCs/>
          <w:color w:val="001E5E"/>
        </w:rPr>
        <w:t xml:space="preserve"> </w:t>
      </w:r>
      <w:r w:rsidR="009957EA" w:rsidRPr="00852F3C">
        <w:rPr>
          <w:rFonts w:ascii="TimesNewRomanPS" w:hAnsi="TimesNewRomanPS"/>
          <w:b/>
          <w:bCs/>
          <w:color w:val="001E5E"/>
        </w:rPr>
        <w:t>К</w:t>
      </w:r>
      <w:r w:rsidRPr="00852F3C">
        <w:rPr>
          <w:rFonts w:ascii="TimesNewRomanPS" w:hAnsi="TimesNewRomanPS"/>
          <w:b/>
          <w:bCs/>
          <w:color w:val="001E5E"/>
        </w:rPr>
        <w:t>.</w:t>
      </w:r>
      <w:r w:rsidR="009957EA" w:rsidRPr="00852F3C">
        <w:rPr>
          <w:rFonts w:ascii="TimesNewRomanPS" w:hAnsi="TimesNewRomanPS"/>
          <w:b/>
          <w:bCs/>
          <w:color w:val="001E5E"/>
        </w:rPr>
        <w:t>И</w:t>
      </w:r>
      <w:r w:rsidRPr="00852F3C">
        <w:rPr>
          <w:rFonts w:ascii="TimesNewRomanPS" w:hAnsi="TimesNewRomanPS"/>
          <w:b/>
          <w:bCs/>
          <w:color w:val="001E5E"/>
        </w:rPr>
        <w:t>. (</w:t>
      </w:r>
      <w:r w:rsidR="007303BF" w:rsidRPr="00852F3C">
        <w:rPr>
          <w:rFonts w:ascii="TimesNewRomanPS" w:hAnsi="TimesNewRomanPS"/>
          <w:b/>
          <w:bCs/>
          <w:color w:val="001E5E"/>
        </w:rPr>
        <w:t>ИТМО</w:t>
      </w:r>
      <w:r w:rsidRPr="00852F3C">
        <w:rPr>
          <w:rFonts w:ascii="TimesNewRomanPS" w:hAnsi="TimesNewRomanPS"/>
          <w:b/>
          <w:bCs/>
          <w:color w:val="001E5E"/>
        </w:rPr>
        <w:t>)</w:t>
      </w:r>
    </w:p>
    <w:p w:rsidR="00095322" w:rsidRPr="001804FF" w:rsidRDefault="00000000" w:rsidP="001F4F79">
      <w:pPr>
        <w:spacing w:after="160"/>
        <w:rPr>
          <w:rFonts w:ascii="TimesNewRomanPS" w:hAnsi="TimesNewRomanPS"/>
          <w:color w:val="001E5E"/>
          <w:sz w:val="22"/>
          <w:szCs w:val="22"/>
          <w:lang w:val="de-DE"/>
        </w:rPr>
      </w:pPr>
      <w:proofErr w:type="spellStart"/>
      <w:r w:rsidRPr="001804FF">
        <w:rPr>
          <w:rFonts w:ascii="TimesNewRomanPS" w:hAnsi="TimesNewRomanPS"/>
          <w:color w:val="001E5E"/>
          <w:sz w:val="22"/>
          <w:szCs w:val="22"/>
          <w:lang w:val="de-DE"/>
        </w:rPr>
        <w:t>e-mail</w:t>
      </w:r>
      <w:proofErr w:type="spellEnd"/>
      <w:r w:rsidRPr="001804FF">
        <w:rPr>
          <w:rFonts w:ascii="TimesNewRomanPS" w:hAnsi="TimesNewRomanPS"/>
          <w:color w:val="001E5E"/>
          <w:sz w:val="22"/>
          <w:szCs w:val="22"/>
          <w:lang w:val="de-DE"/>
        </w:rPr>
        <w:t xml:space="preserve">: </w:t>
      </w:r>
      <w:hyperlink r:id="rId5" w:history="1">
        <w:r w:rsidR="001F4F79" w:rsidRPr="001804FF">
          <w:rPr>
            <w:rFonts w:ascii="TimesNewRomanPS" w:hAnsi="TimesNewRomanPS"/>
            <w:color w:val="001E5E"/>
            <w:sz w:val="22"/>
            <w:szCs w:val="22"/>
            <w:lang w:val="de-DE"/>
          </w:rPr>
          <w:t>orl.ale.dmi@gmail.com</w:t>
        </w:r>
      </w:hyperlink>
    </w:p>
    <w:p w:rsidR="00852F3C" w:rsidRPr="00E54C08" w:rsidRDefault="00852F3C" w:rsidP="00852F3C">
      <w:pPr>
        <w:jc w:val="both"/>
        <w:rPr>
          <w:rFonts w:ascii="TimesNewRomanPS" w:hAnsi="TimesNewRomanPS"/>
          <w:i/>
          <w:iCs/>
          <w:color w:val="001E5E"/>
          <w:sz w:val="22"/>
          <w:szCs w:val="22"/>
        </w:rPr>
      </w:pPr>
      <w:r w:rsidRPr="00E54C08">
        <w:rPr>
          <w:rFonts w:ascii="TimesNewRomanPS" w:hAnsi="TimesNewRomanPS"/>
          <w:i/>
          <w:iCs/>
          <w:color w:val="001E5E"/>
          <w:sz w:val="22"/>
          <w:szCs w:val="22"/>
        </w:rPr>
        <w:t>В работе проведен сравнительный анализ точности прогнозирования доходности</w:t>
      </w:r>
      <w:r w:rsidR="000B7A1D" w:rsidRPr="00E54C08">
        <w:rPr>
          <w:rFonts w:ascii="TimesNewRomanPS" w:hAnsi="TimesNewRomanPS"/>
          <w:i/>
          <w:iCs/>
          <w:color w:val="001E5E"/>
          <w:sz w:val="22"/>
          <w:szCs w:val="22"/>
        </w:rPr>
        <w:t xml:space="preserve"> акций</w:t>
      </w:r>
      <w:r w:rsidRPr="00E54C08">
        <w:rPr>
          <w:rFonts w:ascii="TimesNewRomanPS" w:hAnsi="TimesNewRomanPS"/>
          <w:i/>
          <w:iCs/>
          <w:color w:val="001E5E"/>
          <w:sz w:val="22"/>
          <w:szCs w:val="22"/>
        </w:rPr>
        <w:t xml:space="preserve"> классической модели CAPM и двух её модификаций: модели с учётом асимметрии риска (DCAPM) и трёхфакторной модели Фама–Френча. Апробация выполнена на выборке из десяти крупнейших российских публичных компаний по месячным данным за период с марта 2021 по январь 2025 г. относительно индекса RTSI; точность моделей оценивается через процентное отклонение прогнозной доходности от фактической и среднее абсолютное отклонение (MAD). </w:t>
      </w:r>
      <w:r w:rsidR="003029D5" w:rsidRPr="00E54C08">
        <w:rPr>
          <w:rFonts w:ascii="TimesNewRomanPS" w:hAnsi="TimesNewRomanPS"/>
          <w:i/>
          <w:iCs/>
          <w:color w:val="001E5E"/>
          <w:sz w:val="22"/>
          <w:szCs w:val="22"/>
        </w:rPr>
        <w:t>М</w:t>
      </w:r>
      <w:r w:rsidRPr="00E54C08">
        <w:rPr>
          <w:rFonts w:ascii="TimesNewRomanPS" w:hAnsi="TimesNewRomanPS"/>
          <w:i/>
          <w:iCs/>
          <w:color w:val="001E5E"/>
          <w:sz w:val="22"/>
          <w:szCs w:val="22"/>
        </w:rPr>
        <w:t>одель DCAPM демонстрирует наименьшее отклонение (MAD = 1,92%) против 3,27% у модели Фама–Френча и 5,23% у классической CAPM</w:t>
      </w:r>
      <w:r w:rsidR="003029D5" w:rsidRPr="00E54C08">
        <w:rPr>
          <w:rFonts w:ascii="TimesNewRomanPS" w:hAnsi="TimesNewRomanPS"/>
          <w:i/>
          <w:iCs/>
          <w:color w:val="001E5E"/>
          <w:sz w:val="22"/>
          <w:szCs w:val="22"/>
        </w:rPr>
        <w:t xml:space="preserve">. </w:t>
      </w:r>
    </w:p>
    <w:p w:rsidR="00095322" w:rsidRPr="001F4F79" w:rsidRDefault="00000000">
      <w:pPr>
        <w:spacing w:after="200"/>
        <w:jc w:val="both"/>
        <w:rPr>
          <w:rFonts w:ascii="TimesNewRomanPS" w:hAnsi="TimesNewRomanPS"/>
          <w:i/>
          <w:iCs/>
          <w:color w:val="001E5E"/>
          <w:sz w:val="22"/>
          <w:szCs w:val="22"/>
        </w:rPr>
      </w:pPr>
      <w:r w:rsidRPr="001F4F79">
        <w:rPr>
          <w:rFonts w:ascii="TimesNewRomanPS" w:hAnsi="TimesNewRomanPS"/>
          <w:b/>
          <w:bCs/>
          <w:i/>
          <w:iCs/>
          <w:color w:val="001E5E"/>
          <w:sz w:val="22"/>
          <w:szCs w:val="22"/>
        </w:rPr>
        <w:t>Ключевые слова:</w:t>
      </w:r>
      <w:r w:rsidRPr="001F4F79">
        <w:rPr>
          <w:rFonts w:ascii="TimesNewRomanPS" w:hAnsi="TimesNewRomanPS"/>
          <w:i/>
          <w:iCs/>
          <w:color w:val="001E5E"/>
          <w:sz w:val="22"/>
          <w:szCs w:val="22"/>
        </w:rPr>
        <w:t xml:space="preserve"> модель CAPM; DCAPM; трёхфакторная модель Фама–Френча; бета-коэффициент; </w:t>
      </w:r>
      <w:r w:rsidRPr="00E54C08">
        <w:rPr>
          <w:rFonts w:ascii="TimesNewRomanPS" w:hAnsi="TimesNewRomanPS"/>
          <w:i/>
          <w:iCs/>
          <w:color w:val="001E5E"/>
          <w:sz w:val="22"/>
          <w:szCs w:val="22"/>
        </w:rPr>
        <w:t>асимметрия</w:t>
      </w:r>
      <w:r w:rsidRPr="001F4F79">
        <w:rPr>
          <w:rFonts w:ascii="TimesNewRomanPS" w:hAnsi="TimesNewRomanPS"/>
          <w:i/>
          <w:iCs/>
          <w:color w:val="001E5E"/>
          <w:sz w:val="22"/>
          <w:szCs w:val="22"/>
        </w:rPr>
        <w:t xml:space="preserve"> риска; </w:t>
      </w:r>
      <w:proofErr w:type="spellStart"/>
      <w:r w:rsidRPr="001F4F79">
        <w:rPr>
          <w:rFonts w:ascii="TimesNewRomanPS" w:hAnsi="TimesNewRomanPS"/>
          <w:i/>
          <w:iCs/>
          <w:color w:val="001E5E"/>
          <w:sz w:val="22"/>
          <w:szCs w:val="22"/>
        </w:rPr>
        <w:t>полудисперсия</w:t>
      </w:r>
      <w:proofErr w:type="spellEnd"/>
      <w:r w:rsidRPr="001F4F79">
        <w:rPr>
          <w:rFonts w:ascii="TimesNewRomanPS" w:hAnsi="TimesNewRomanPS"/>
          <w:i/>
          <w:iCs/>
          <w:color w:val="001E5E"/>
          <w:sz w:val="22"/>
          <w:szCs w:val="22"/>
        </w:rPr>
        <w:t>; российский фондовый рынок; развивающиеся рынки; точность прогнозирования; среднее абсолютное отклонение.</w:t>
      </w:r>
    </w:p>
    <w:p w:rsidR="000925EE" w:rsidRPr="000925EE" w:rsidRDefault="000925EE">
      <w:pPr>
        <w:ind w:firstLine="567"/>
        <w:jc w:val="both"/>
        <w:rPr>
          <w:b/>
          <w:bCs/>
        </w:rPr>
      </w:pPr>
      <w:r w:rsidRPr="000925EE">
        <w:rPr>
          <w:b/>
          <w:bCs/>
        </w:rPr>
        <w:t>Введение</w:t>
      </w:r>
    </w:p>
    <w:p w:rsidR="00095322" w:rsidRDefault="00000000">
      <w:pPr>
        <w:ind w:firstLine="567"/>
        <w:jc w:val="both"/>
      </w:pPr>
      <w:r>
        <w:t>Оценка ожидаемой доходности финансового актива относительно принимаемого инвестором риска остаётся одной из центральных задач корпоративных финансов и инвестиционного анализа: от её решения зависят оценка стоимости капитала компании, построение инвестиционных портфелей и обоснование ставок дисконтирования. Начиная с формализации однофакторной модели ценообразования капитальных активов (</w:t>
      </w:r>
      <w:r w:rsidR="00EA50D3">
        <w:t xml:space="preserve">в дальнейшем </w:t>
      </w:r>
      <w:r>
        <w:t>CAPM) У.</w:t>
      </w:r>
      <w:r w:rsidR="00852F3C">
        <w:t xml:space="preserve"> </w:t>
      </w:r>
      <w:r>
        <w:t>Шарпом, Дж.</w:t>
      </w:r>
      <w:r w:rsidR="00E54C08">
        <w:t xml:space="preserve"> </w:t>
      </w:r>
      <w:r>
        <w:t xml:space="preserve">Линтнером и Дж. </w:t>
      </w:r>
      <w:proofErr w:type="spellStart"/>
      <w:r>
        <w:t>Трейнором</w:t>
      </w:r>
      <w:proofErr w:type="spellEnd"/>
      <w:r>
        <w:t xml:space="preserve"> на основе портфельной теории Г. </w:t>
      </w:r>
      <w:proofErr w:type="spellStart"/>
      <w:r>
        <w:t>Марковица</w:t>
      </w:r>
      <w:proofErr w:type="spellEnd"/>
      <w:r>
        <w:t>, связь ожидаемой доходности актива с его систематическим (</w:t>
      </w:r>
      <w:proofErr w:type="spellStart"/>
      <w:r>
        <w:t>недиверсифицируемым</w:t>
      </w:r>
      <w:proofErr w:type="spellEnd"/>
      <w:r>
        <w:t>) риском, измеряемым бета-коэффициентом, стала базовым инструментом такой оценки.</w:t>
      </w:r>
    </w:p>
    <w:p w:rsidR="00095322" w:rsidRDefault="00000000">
      <w:pPr>
        <w:ind w:firstLine="567"/>
        <w:jc w:val="both"/>
      </w:pPr>
      <w:r>
        <w:t xml:space="preserve">Вместе с тем предпосылки, на которых построена классическая CAPM, </w:t>
      </w:r>
      <w:r w:rsidR="00852F3C">
        <w:t xml:space="preserve">– </w:t>
      </w:r>
      <w:r>
        <w:t xml:space="preserve">однородность ожиданий инвесторов, отсутствие транзакционных издержек и налогов, симметричность риска, измеряемого дисперсией доходности, достаточность единственного рыночного фактора для объяснения доходности </w:t>
      </w:r>
      <w:r w:rsidR="00852F3C">
        <w:t xml:space="preserve">– </w:t>
      </w:r>
      <w:r>
        <w:t>уже в 1970–1990-е годы были поставлены под сомнение эмпирическими исследованиями. Была показана нестабильность бета-коэффициента во времени, ограниченная объяснительная сила однофакторной модели для кросс-секционных различий доходности между компаниями разного размера, а также несоответствие модели поведению инвесторов, которые реагируют на потери сильнее, чем на симметричные выигрыши.</w:t>
      </w:r>
    </w:p>
    <w:p w:rsidR="00095322" w:rsidRDefault="00000000">
      <w:pPr>
        <w:ind w:firstLine="567"/>
        <w:jc w:val="both"/>
      </w:pPr>
      <w:r>
        <w:t xml:space="preserve">В ответ на эти ограничения сложились два самостоятельных направления модификации CAPM. Первое переопределяет риск асимметрично </w:t>
      </w:r>
      <w:r w:rsidR="00852F3C">
        <w:t xml:space="preserve">– </w:t>
      </w:r>
      <w:r>
        <w:t xml:space="preserve">через </w:t>
      </w:r>
      <w:proofErr w:type="spellStart"/>
      <w:r>
        <w:t>полудисперсию</w:t>
      </w:r>
      <w:proofErr w:type="spellEnd"/>
      <w:r>
        <w:t xml:space="preserve"> (semivariance), то есть колебания доходности ниже среднего или целевого уровня; на этой основе построена модель DCAPM, для которой показана более высокая объяснительная сила именно на развивающихся рынках, характеризующихся повышенной волатильностью и </w:t>
      </w:r>
      <w:proofErr w:type="spellStart"/>
      <w:r>
        <w:t>скошенностью</w:t>
      </w:r>
      <w:proofErr w:type="spellEnd"/>
      <w:r>
        <w:t xml:space="preserve"> распределения доходностей. Второе направление расширяет число систематических факторов: трёхфакторная модель Фама–Френча добавляет к рыночному риску премии за размер компании и за соотношение балансовой и рыночной стоимости.</w:t>
      </w:r>
    </w:p>
    <w:p w:rsidR="00095322" w:rsidRDefault="00000000">
      <w:pPr>
        <w:ind w:firstLine="567"/>
        <w:jc w:val="both"/>
      </w:pPr>
      <w:r>
        <w:t xml:space="preserve">Российский фондовый рынок обладает структурными особенностями </w:t>
      </w:r>
      <w:r w:rsidR="00852F3C">
        <w:t xml:space="preserve">– </w:t>
      </w:r>
      <w:r>
        <w:t xml:space="preserve">высокой концентрацией капитализации в сырьевых и </w:t>
      </w:r>
      <w:proofErr w:type="spellStart"/>
      <w:r>
        <w:t>подсанкционных</w:t>
      </w:r>
      <w:proofErr w:type="spellEnd"/>
      <w:r>
        <w:t xml:space="preserve"> эмитентах, повышенной и изменяющейся во времени волатильностью, чувствительностью к геополитическим шокам, </w:t>
      </w:r>
      <w:r w:rsidR="00852F3C">
        <w:t xml:space="preserve">– </w:t>
      </w:r>
      <w:r>
        <w:t xml:space="preserve">которые потенциально усиливают именно те отклонения от предпосылок CAPM, что послужили основанием для разработки DCAPM и модели Фама–Френча. Однако прямое сопоставление точности прогнозирования этих моделей на едином массиве данных и по </w:t>
      </w:r>
      <w:r>
        <w:lastRenderedPageBreak/>
        <w:t>единому критерию для российского рынка представлено ограниченно: большинство отечественных прикладных работ тестируют одну модель изолированно либо опираются на критерии статистической значимости коэффициентов без сопоставления точности точечного прогноза доходности между моделями.</w:t>
      </w:r>
    </w:p>
    <w:p w:rsidR="00095322" w:rsidRDefault="00000000">
      <w:pPr>
        <w:ind w:firstLine="567"/>
        <w:jc w:val="both"/>
      </w:pPr>
      <w:r>
        <w:t xml:space="preserve">Научная проблема состоит в отсутствии систематического сравнения прогностической точности классической CAPM и двух альтернативных спецификаций </w:t>
      </w:r>
      <w:r w:rsidR="00852F3C">
        <w:t xml:space="preserve">– </w:t>
      </w:r>
      <w:r>
        <w:t xml:space="preserve">учитывающей асимметрию риска и учитывающей дополнительные систематические факторы </w:t>
      </w:r>
      <w:r w:rsidR="00852F3C">
        <w:t xml:space="preserve">– </w:t>
      </w:r>
      <w:r>
        <w:t>на общей выборке российских компаний и по общему критерию точности, что не позволяет дать обоснованную практическую рекомендацию о выборе модели для оценки ожидаемой доходности в условиях российского рынка.</w:t>
      </w:r>
    </w:p>
    <w:p w:rsidR="00095322" w:rsidRDefault="00000000">
      <w:pPr>
        <w:ind w:firstLine="567"/>
        <w:jc w:val="both"/>
      </w:pPr>
      <w:r>
        <w:t>В работе решается эта задача: строятся и сопоставляются классическая модель CAPM, модель DCAPM и адаптированная для развивающихся рынков трёхфакторная модель Фама–Френча на месячных данных десяти крупных российских эмитентов за период с марта 2021 по январь 2025 г. относительно индекса RTSI; точность моделей оценивается через отклонение прогнозной доходности от фактически полученной и через среднее абсолютное отклонение, на основании чего формулируется вывод о предпочтительной спецификации для практической оценки доходности акций на российском рынке.</w:t>
      </w:r>
    </w:p>
    <w:p w:rsidR="00710521" w:rsidRPr="00710521" w:rsidRDefault="00710521">
      <w:pPr>
        <w:ind w:firstLine="567"/>
        <w:jc w:val="both"/>
        <w:rPr>
          <w:b/>
          <w:bCs/>
        </w:rPr>
      </w:pPr>
      <w:r w:rsidRPr="00710521">
        <w:rPr>
          <w:b/>
          <w:bCs/>
        </w:rPr>
        <w:t>Теоретические основы и постановка проблемы</w:t>
      </w:r>
    </w:p>
    <w:p w:rsidR="00095322" w:rsidRDefault="00000000">
      <w:pPr>
        <w:ind w:firstLine="567"/>
        <w:jc w:val="both"/>
      </w:pPr>
      <w:r>
        <w:t xml:space="preserve">Модель CAPM формализует связь ожидаемой доходности актива с его систематическим риском, опираясь на портфельную теорию Г. </w:t>
      </w:r>
      <w:proofErr w:type="spellStart"/>
      <w:r>
        <w:t>Марковица</w:t>
      </w:r>
      <w:proofErr w:type="spellEnd"/>
      <w:r>
        <w:t xml:space="preserve"> [1]:</w:t>
      </w:r>
    </w:p>
    <w:p w:rsidR="00095322" w:rsidRDefault="00000000" w:rsidP="00AF452E">
      <w:pPr>
        <w:spacing w:before="100" w:after="10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+ β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,  β = 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cov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e>
            </m:func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F0371D">
        <w:t>,</w:t>
      </w:r>
    </w:p>
    <w:p w:rsidR="00095322" w:rsidRDefault="00000000">
      <w:pPr>
        <w:ind w:firstLine="567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852F3C">
        <w:t xml:space="preserve">– </w:t>
      </w:r>
      <w:r>
        <w:t xml:space="preserve">ожидаемая доходность актива;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852F3C">
        <w:t xml:space="preserve">– </w:t>
      </w:r>
      <w:r>
        <w:t xml:space="preserve">безрисковая ставка;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852F3C">
        <w:t xml:space="preserve">– </w:t>
      </w:r>
      <w:r>
        <w:t xml:space="preserve">доходность рыночного портфеля (индекса);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 w:rsidR="00852F3C">
        <w:t xml:space="preserve">– </w:t>
      </w:r>
      <w:r>
        <w:t xml:space="preserve">бета-коэффициент, отражающий чувствительность доходности актива к колебаниям рынка. Экономический смысл слагаемого </w:t>
      </w:r>
      <m:oMath>
        <m:r>
          <w:rPr>
            <w:rFonts w:ascii="Cambria Math" w:hAnsi="Cambria Math"/>
          </w:rPr>
          <m:t>β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</m:oMath>
      <w:r w:rsidR="00710521">
        <w:t xml:space="preserve"> </w:t>
      </w:r>
      <w:r>
        <w:t xml:space="preserve">состоит в рыночной премии за риск </w:t>
      </w:r>
      <w:r w:rsidR="00852F3C">
        <w:t xml:space="preserve">– </w:t>
      </w:r>
      <w:r>
        <w:t>компенсации, которую инвестор требует за принятие систематического риска сверх безрисковой ставки [2]. Модель опирается на ряд предпосылок: рациональность и однородность ожиданий инвесторов, отсутствие транзакционных издержек и налогов, возможность неограниченного кредитования и заимствования по безрисковой ставке, достаточность единственного систематического фактора и измерение риска дисперсией доходности [3, 4].</w:t>
      </w:r>
    </w:p>
    <w:p w:rsidR="00095322" w:rsidRDefault="00000000">
      <w:pPr>
        <w:ind w:firstLine="567"/>
        <w:jc w:val="both"/>
      </w:pPr>
      <w:r>
        <w:t xml:space="preserve">Эмпирическая проверка этих предпосылок с 1970-х годов выявила их системные нарушения: бета-коэффициент, оцениваемый по ретроспективным данным, не является устойчивым во времени [5, 6]; однофакторная спецификация не объясняет наблюдаемые аномалии доходности, связанные с размером компании и соотношением балансовой и рыночной стоимости [7]; тестируемость самой модели ограничена </w:t>
      </w:r>
      <w:proofErr w:type="spellStart"/>
      <w:r>
        <w:t>ненаблюдаемостью</w:t>
      </w:r>
      <w:proofErr w:type="spellEnd"/>
      <w:r>
        <w:t xml:space="preserve"> истинного рыночного портфеля [8]. Отдельная линия критики связана с симметричностью меры риска: ещё А. Рой [9], предложивший принцип «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first</w:t>
      </w:r>
      <w:proofErr w:type="spellEnd"/>
      <w:r>
        <w:t>», показал, что инвесторы оценивают не общую волатильность, а прежде всего риск снижения доходности ниже приемлемого уровня.</w:t>
      </w:r>
    </w:p>
    <w:p w:rsidR="00095322" w:rsidRDefault="00000000">
      <w:pPr>
        <w:ind w:firstLine="567"/>
        <w:jc w:val="both"/>
      </w:pPr>
      <w:r>
        <w:t xml:space="preserve">Развитие этой идеи привело к построению модели DCAPM. У. Хоган и Дж. Уоррен [10] предложили определять бета-коэффициент через </w:t>
      </w:r>
      <w:proofErr w:type="spellStart"/>
      <w:r>
        <w:t>полудисперсию</w:t>
      </w:r>
      <w:proofErr w:type="spellEnd"/>
      <w:r>
        <w:t xml:space="preserve">, В. Харлоу и Р. Роу [11] </w:t>
      </w:r>
      <w:r w:rsidR="00852F3C">
        <w:t xml:space="preserve">– </w:t>
      </w:r>
      <w:r>
        <w:t xml:space="preserve">через ковариацию отклонений доходности актива и рынка ниже их средних значений, а Х. Эстрада [12, 13] завершил построение модифицированного бета-коэффициента и показал на выборке развивающихся рынков, что модель, учитывающая только риск снижения доходности, обладает более высокой объяснительной силой, чем классическая CAPM, </w:t>
      </w:r>
      <w:r w:rsidR="00852F3C">
        <w:t xml:space="preserve">– </w:t>
      </w:r>
      <w:r>
        <w:t>именно в силу повышенной волатильности и асимметрии доходностей, характерных для таких рынков.</w:t>
      </w:r>
    </w:p>
    <w:p w:rsidR="00095322" w:rsidRDefault="00000000">
      <w:pPr>
        <w:ind w:firstLine="567"/>
        <w:jc w:val="both"/>
      </w:pPr>
      <w:r>
        <w:lastRenderedPageBreak/>
        <w:t>Альтернативное направление модификации связано не с переопределением риска, а с расширением числа систематических факторов. Ю. Фама и К. Френч [7, 14] показали, что доходность акций последовательно связана также с размером компании (фактор SMB) и соотношением балансовой и рыночной стоимости (фактор HML), и предложили трёхфакторную модель. Поскольку факторы SMB и HML были первоначально рассчитаны для рынка США, для применения модели на развивающихся рынках используются соответствующие региональные факторы (в частности, факторы для развивающихся рынков из базы данных К. Френча).</w:t>
      </w:r>
    </w:p>
    <w:p w:rsidR="00095322" w:rsidRDefault="00000000">
      <w:pPr>
        <w:ind w:firstLine="567"/>
        <w:jc w:val="both"/>
      </w:pPr>
      <w:r>
        <w:t xml:space="preserve">Таким образом, DCAPM и модель Фама–Френча устраняют разные ограничения классической CAPM </w:t>
      </w:r>
      <w:r w:rsidR="00852F3C">
        <w:t xml:space="preserve">– </w:t>
      </w:r>
      <w:r>
        <w:t xml:space="preserve">асимметрию риска и недостаточность единственного фактора соответственно </w:t>
      </w:r>
      <w:r w:rsidR="00852F3C">
        <w:t xml:space="preserve">– </w:t>
      </w:r>
      <w:r>
        <w:t xml:space="preserve">и являются не конкурирующими, а взаимодополняющими направлениями её развития. Это делает содержательным их прямое эмпирическое сопоставление на данных одного рынка: такое сравнение показывает не то, какая модель теоретически «более полна», а то, какой источник отклонения от CAPM </w:t>
      </w:r>
      <w:r w:rsidR="00852F3C">
        <w:t xml:space="preserve">– </w:t>
      </w:r>
      <w:r>
        <w:t xml:space="preserve">асимметрия риска или пропущенные факторы </w:t>
      </w:r>
      <w:r w:rsidR="00852F3C">
        <w:t xml:space="preserve">– </w:t>
      </w:r>
      <w:r>
        <w:t xml:space="preserve">эмпирически более значим для конкретного рынка. Для российского рынка, тестировавшегося преимущественно по отдельности для каждой модели (см. также недавние работы Н. А. </w:t>
      </w:r>
      <w:proofErr w:type="spellStart"/>
      <w:r>
        <w:t>Манушкина</w:t>
      </w:r>
      <w:proofErr w:type="spellEnd"/>
      <w:r>
        <w:t xml:space="preserve"> [15], М. И. Черновой и Т. Р. </w:t>
      </w:r>
      <w:proofErr w:type="spellStart"/>
      <w:r>
        <w:t>Ахметзянова</w:t>
      </w:r>
      <w:proofErr w:type="spellEnd"/>
      <w:r>
        <w:t xml:space="preserve"> [16] и Н. Хана [17]), подобное прямое сопоставление на едином массиве данных ранее не проводилось.</w:t>
      </w:r>
    </w:p>
    <w:p w:rsidR="00710521" w:rsidRPr="00710521" w:rsidRDefault="00710521">
      <w:pPr>
        <w:ind w:firstLine="567"/>
        <w:jc w:val="both"/>
        <w:rPr>
          <w:b/>
          <w:bCs/>
        </w:rPr>
      </w:pPr>
      <w:r w:rsidRPr="00710521">
        <w:rPr>
          <w:b/>
          <w:bCs/>
        </w:rPr>
        <w:t>Методика исследования</w:t>
      </w:r>
    </w:p>
    <w:p w:rsidR="00095322" w:rsidRDefault="00000000">
      <w:pPr>
        <w:ind w:firstLine="567"/>
        <w:jc w:val="both"/>
      </w:pPr>
      <w:r>
        <w:t>В выборку включены обыкновенные акции десяти крупных российских компаний, торгующихся на Московской бирже и представляющих ключевые секторы экономики: ПАО «Яндекс» (YDEX), «Русал» (RUAL), ПАО «Аэрофлот» (AFLT), ПАО Сбербанк (SBER), ПАО «КАМАЗ» (KMAZ), Банк ВТБ (ПАО) (VTBR), ПАО «</w:t>
      </w:r>
      <w:proofErr w:type="spellStart"/>
      <w:r>
        <w:t>Артген</w:t>
      </w:r>
      <w:proofErr w:type="spellEnd"/>
      <w:r>
        <w:t xml:space="preserve">» (ABIO), ПАО «ЛУКОЙЛ» (LKOH), ПАО «Газпром» (GAZP) и ПАО «НОВАТЭК» (NVTK). Единица наблюдения </w:t>
      </w:r>
      <w:r w:rsidR="00852F3C">
        <w:t xml:space="preserve">– </w:t>
      </w:r>
      <w:r>
        <w:t xml:space="preserve">месячная доходность акции. Период наблюдения </w:t>
      </w:r>
      <w:r w:rsidR="00852F3C">
        <w:t xml:space="preserve">– </w:t>
      </w:r>
      <w:r>
        <w:t xml:space="preserve">с 1 марта 2021 г. по 1 января 2025 г., что охватывает как относительно стабильную часть рынка, так и период резкого санкционного шока 2022 г. и последующей адаптации к нему. В качестве рыночного бенчмарка использован индекс RTSI (индекс РТС Московской биржи, номинированный в долларах США) </w:t>
      </w:r>
      <w:r w:rsidR="00852F3C">
        <w:t xml:space="preserve">– </w:t>
      </w:r>
      <w:r>
        <w:t>старейший и наиболее широко используемый индикатор состояния российского рынка акций в целом.</w:t>
      </w:r>
    </w:p>
    <w:p w:rsidR="00095322" w:rsidRDefault="00000000">
      <w:pPr>
        <w:ind w:firstLine="567"/>
        <w:jc w:val="both"/>
      </w:pPr>
      <w:r>
        <w:t>Ожидаемая доходность по классической модели CAPM рассчитывается относительно индекса RTSI:</w:t>
      </w:r>
    </w:p>
    <w:p>
      <w:pPr>
        <w:tabs>
          <w:tab w:val="center" w:pos="4819"/>
          <w:tab w:val="right" w:pos="7937"/>
        </w:tabs>
        <w:spacing w:after="100" w:before="1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β·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RTSI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(1)</w:t>
      </w:r>
    </w:p>
    <w:p w:rsidR="00095322" w:rsidRDefault="00000000">
      <w:pPr>
        <w:ind w:firstLine="567"/>
        <w:jc w:val="both"/>
      </w:pPr>
      <w:r>
        <w:t xml:space="preserve">Модель DCAPM сохраняет форму уравнения (1), но заменяет классический бета-коэффициент модифицированным коэффициентом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>, учитывающим только совместные отклонения доходности актива и рынка ниже их средних значений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RTSI</m:t>
            </m:r>
          </m:sub>
        </m:sSub>
      </m:oMath>
      <w:r>
        <w:t>):</w:t>
      </w:r>
    </w:p>
    <w:p>
      <w:pPr>
        <w:tabs>
          <w:tab w:val="center" w:pos="4819"/>
          <w:tab w:val="right" w:pos="7937"/>
        </w:tabs>
        <w:spacing w:after="100" w:before="1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m:oMath>
        <m:sSub>
          <m:sSubPr/>
          <m:e>
            <m:r>
              <m:t>β</m:t>
            </m:r>
          </m:e>
          <m:sub>
            <m:r>
              <m:t>i</m:t>
            </m:r>
          </m:sub>
        </m:sSub>
        <m:r>
          <m:t> = </m:t>
        </m:r>
        <m:f>
          <m:num>
            <m:func>
              <m:funcPr/>
              <m:fName>
                <m:r>
                  <m:t>cov</m:t>
                </m:r>
              </m:fName>
              <m:e>
                <m:d>
                  <m:dPr>
                    <m:begChr m:val="["/>
                    <m:endChr m:val="]"/>
                  </m:dPr>
                  <m:e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  <m:r>
                      <m:t>·</m:t>
                    </m:r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</m:e>
                </m:d>
              </m:e>
            </m:func>
          </m:num>
          <m:den>
            <m:func>
              <m:funcPr/>
              <m:fName>
                <m:r>
                  <m:t>var</m:t>
                </m:r>
              </m:fName>
              <m:e>
                <m:d>
                  <m:dPr>
                    <m:begChr m:val="["/>
                    <m:endChr m:val="]"/>
                  </m:dPr>
                  <m:e>
                    <m:func>
                      <m:funcPr/>
                      <m:fName>
                        <m:r>
                          <m:t>min</m:t>
                        </m:r>
                      </m:fName>
                      <m:e>
                        <m:d>
                          <m:dPr/>
                          <m:e>
                            <m:sSub>
                              <m:sSubPr/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 − </m:t>
                            </m:r>
                            <m:sSub>
                              <m:sSubPr/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RTSI</m:t>
                                </m:r>
                              </m:sub>
                            </m:sSub>
                            <m:r>
                              <m:t>, 0</m:t>
                            </m:r>
                          </m:e>
                        </m:d>
                      </m:e>
                    </m:func>
                  </m:e>
                </m:d>
              </m:e>
            </m:func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(2)</w:t>
      </w:r>
    </w:p>
    <w:p w:rsidR="007A0AB8" w:rsidRDefault="00000000" w:rsidP="007A0AB8">
      <w:pPr>
        <w:ind w:firstLine="567"/>
        <w:jc w:val="both"/>
      </w:pPr>
      <w:r>
        <w:t>Трёхфакторная модель Фама–Френча, адаптированная для развивающихся рынков, дополняет рыночный фактор факторами размера и стоимости, рассчитанными для группы развивающихся рынков (EM):</w:t>
      </w:r>
    </w:p>
    <w:p>
      <w:pPr>
        <w:spacing w:after="0" w:before="100" w:line="240"/>
        <w:jc w:val="left"/>
      </w:pPr>
      <m:oMath>
        <m:sSub>
          <m:sSubPr/>
          <m:e>
            <m:r>
              <m:t>R</m:t>
            </m:r>
          </m:e>
          <m:sub>
            <m:r>
              <m:t>e</m:t>
            </m:r>
          </m:sub>
        </m:sSub>
        <m:r>
          <m:t> = </m:t>
        </m:r>
        <m:sSub>
          <m:sSubPr/>
          <m:e>
            <m:r>
              <m:t>R</m:t>
            </m:r>
          </m:e>
          <m:sub>
            <m:r>
              <m:t>f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m,EM</m:t>
            </m:r>
          </m:sub>
        </m:sSub>
        <m:r>
          <m:t>·</m:t>
        </m:r>
        <m:d>
          <m:dPr/>
          <m:e>
            <m:sSub>
              <m:sSubPr/>
              <m:e>
                <m:r>
                  <m:t>R</m:t>
                </m:r>
              </m:e>
              <m:sub>
                <m:r>
                  <m:t>m,EM</m:t>
                </m:r>
              </m:sub>
            </m:sSub>
            <m:r>
              <m:t> − </m:t>
            </m:r>
            <m:sSub>
              <m:sSubPr/>
              <m:e>
                <m:r>
                  <m:t>R</m:t>
                </m:r>
              </m:e>
              <m:sub>
                <m:r>
                  <m:t>f</m:t>
                </m:r>
              </m:sub>
            </m:sSub>
          </m:e>
        </m:d>
        <m:r>
          <m:t> +</m:t>
        </m:r>
      </m:oMath>
    </w:p>
    <w:p>
      <w:pPr>
        <w:tabs>
          <w:tab w:val="right" w:pos="7937"/>
        </w:tabs>
        <w:spacing w:after="100" w:before="0" w:line="240"/>
        <w:ind w:left="567"/>
        <w:jc w:val="left"/>
      </w:pPr>
      <m:oMath>
        <m:r>
          <m:t>+ </m:t>
        </m:r>
        <m:sSub>
          <m:sSubPr/>
          <m:e>
            <m:r>
              <m:t>β</m:t>
            </m:r>
          </m:e>
          <m:sub>
            <m:r>
              <m:t>SMB,EM</m:t>
            </m:r>
          </m:sub>
        </m:sSub>
        <m:r>
          <m:t>·</m:t>
        </m:r>
        <m:sSub>
          <m:sSubPr/>
          <m:e>
            <m:r>
              <m:t>SMB</m:t>
            </m:r>
          </m:e>
          <m:sub>
            <m:r>
              <m:t>EM</m:t>
            </m:r>
          </m:sub>
        </m:sSub>
        <m:r>
          <m:t> + </m:t>
        </m:r>
        <m:sSub>
          <m:sSubPr/>
          <m:e>
            <m:r>
              <m:t>β</m:t>
            </m:r>
          </m:e>
          <m:sub>
            <m:r>
              <m:t>HML,EM</m:t>
            </m:r>
          </m:sub>
        </m:sSub>
        <m:r>
          <m:t>·</m:t>
        </m:r>
        <m:sSub>
          <m:sSubPr/>
          <m:e>
            <m:r>
              <m:t>HML</m:t>
            </m:r>
          </m:e>
          <m:sub>
            <m:r>
              <m:t>EM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(3)</w:t>
      </w:r>
    </w:p>
    <w:p w:rsidR="00095322" w:rsidRDefault="00000000">
      <w:pPr>
        <w:ind w:firstLine="567"/>
        <w:jc w:val="both"/>
      </w:pPr>
      <w:r>
        <w:t xml:space="preserve">Во всех трёх моделях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</w:t>
      </w:r>
      <w:r w:rsidR="00852F3C">
        <w:t xml:space="preserve">– </w:t>
      </w:r>
      <w:r>
        <w:t>безрисковая ставка, приведённая к частоте наблюдений; расчёт выполнен по единой выборке и единому периоду наблюдения, что обеспечивает сопоставимость результатов между моделями.</w:t>
      </w:r>
    </w:p>
    <w:p w:rsidR="00095322" w:rsidRDefault="00000000">
      <w:pPr>
        <w:ind w:firstLine="567"/>
        <w:jc w:val="both"/>
      </w:pPr>
      <w:r>
        <w:t xml:space="preserve">Точность каждой модели оценивается путём сопоставления ожидаемой (расчётной) доходности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10521">
        <w:t xml:space="preserve"> </w:t>
      </w:r>
      <w:r>
        <w:t xml:space="preserve">с фактически полученной доходностью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за тот же период по двум показателям. Во-первых, процентное отклонение по каждой акции:</w:t>
      </w:r>
    </w:p>
    <w:p>
      <w:pPr>
        <w:tabs>
          <w:tab w:val="center" w:pos="4819"/>
          <w:tab w:val="right" w:pos="7937"/>
        </w:tabs>
        <w:spacing w:after="100" w:before="10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Deviation = </w:t>
      </w:r>
      <m:oMath>
        <m:r>
          <m:t>|</m:t>
        </m:r>
        <m:sSub>
          <m:sSubPr/>
          <m:e>
            <m:r>
              <m:t>R</m:t>
            </m:r>
          </m:e>
          <m:sub>
            <m:r>
              <m:t>t</m:t>
            </m:r>
          </m:sub>
        </m:sSub>
        <m:r>
          <m:t> − </m:t>
        </m:r>
        <m:sSub>
          <m:sSubPr/>
          <m:e>
            <m:r>
              <m:t>R</m:t>
            </m:r>
          </m:e>
          <m:sub>
            <m:r>
              <m:t>r</m:t>
            </m:r>
          </m:sub>
        </m:sSub>
        <m:r>
          <m:t>| / </m:t>
        </m:r>
        <m:sSub>
          <m:sSubPr/>
          <m:e>
            <m:r>
              <m:t>R</m:t>
            </m:r>
          </m:e>
          <m:sub>
            <m:r>
              <m:t>r</m:t>
            </m:r>
          </m:sub>
        </m:sSub>
        <m:r>
          <m:t> × 100%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(4)</w:t>
      </w:r>
    </w:p>
    <w:p w:rsidR="00095322" w:rsidRDefault="00000000">
      <w:pPr>
        <w:ind w:firstLine="567"/>
        <w:jc w:val="both"/>
      </w:pPr>
      <w:r>
        <w:t xml:space="preserve">Во-вторых, среднее абсолютное отклонение (MAD) </w:t>
      </w:r>
      <w:r w:rsidR="00852F3C">
        <w:t xml:space="preserve">– </w:t>
      </w:r>
      <w:r>
        <w:t>усреднённый по всем десяти акциям показатель точности каждой модели, позволяющий ранжировать модели между собой: чем ниже значение MAD, тем точнее модель воспроизводит фактически наблюдаемую доходность. Использованный подход к сопоставлению прогнозных и фактических значений методологически соотносится с практикой оценки эффективности управления инвестиционными портфелями [18]. Обобщённая архитектура сопоставления моделей приведена в табл. 1.</w:t>
      </w:r>
    </w:p>
    <w:p w:rsidR="00095322" w:rsidRDefault="00095322"/>
    <w:p w:rsidR="00095322" w:rsidRDefault="00000000">
      <w:pPr>
        <w:spacing w:after="80"/>
        <w:jc w:val="right"/>
      </w:pPr>
      <w:r>
        <w:rPr>
          <w:rFonts w:ascii="Arial" w:eastAsia="Arial" w:hAnsi="Arial" w:cs="Arial"/>
          <w:sz w:val="22"/>
          <w:szCs w:val="22"/>
        </w:rPr>
        <w:t>Таблица 1. Архитектура сопоставления моделей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2"/>
        <w:gridCol w:w="2206"/>
        <w:gridCol w:w="4387"/>
        <w:gridCol w:w="1783"/>
      </w:tblGrid>
      <w:tr w:rsidR="00095322" w:rsidTr="00690AA9">
        <w:trPr>
          <w:tblHeader/>
        </w:trPr>
        <w:tc>
          <w:tcPr>
            <w:tcW w:w="16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690AA9" w:rsidRDefault="00000000">
            <w:pPr>
              <w:jc w:val="center"/>
            </w:pPr>
            <w:r w:rsidRPr="00690AA9">
              <w:rPr>
                <w:sz w:val="22"/>
                <w:szCs w:val="22"/>
              </w:rPr>
              <w:t>Элемент</w:t>
            </w:r>
          </w:p>
        </w:tc>
        <w:tc>
          <w:tcPr>
            <w:tcW w:w="30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690AA9" w:rsidRDefault="00000000">
            <w:pPr>
              <w:jc w:val="center"/>
            </w:pPr>
            <w:r w:rsidRPr="00690AA9">
              <w:rPr>
                <w:sz w:val="22"/>
                <w:szCs w:val="22"/>
              </w:rPr>
              <w:t>Экономический смысл</w:t>
            </w:r>
          </w:p>
        </w:tc>
        <w:tc>
          <w:tcPr>
            <w:tcW w:w="3238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690AA9" w:rsidRDefault="00000000">
            <w:pPr>
              <w:jc w:val="center"/>
            </w:pPr>
            <w:r w:rsidRPr="00690AA9">
              <w:rPr>
                <w:sz w:val="22"/>
                <w:szCs w:val="22"/>
              </w:rPr>
              <w:t>Операционализация</w:t>
            </w:r>
          </w:p>
        </w:tc>
        <w:tc>
          <w:tcPr>
            <w:tcW w:w="18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690AA9" w:rsidRDefault="00000000">
            <w:pPr>
              <w:jc w:val="center"/>
            </w:pPr>
            <w:r w:rsidRPr="00690AA9">
              <w:rPr>
                <w:sz w:val="22"/>
                <w:szCs w:val="22"/>
              </w:rPr>
              <w:t>Роль в сопоставлении</w:t>
            </w:r>
          </w:p>
        </w:tc>
      </w:tr>
      <w:tr w:rsidR="00095322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CAPM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Систематический (рыночный) риск, симметричная дисперсия доходности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547686" w:rsidRDefault="00000000">
            <w:pPr>
              <w:jc w:val="center"/>
              <w:rPr>
                <w:lang w:val="en-US"/>
              </w:rPr>
            </w:pPr>
            <w:r>
              <w:rPr>
                <w:i/>
                <w:iCs/>
                <w:sz w:val="22"/>
                <w:szCs w:val="22"/>
              </w:rPr>
              <w:t>β</w:t>
            </w:r>
            <w:r w:rsidRPr="00547686">
              <w:rPr>
                <w:i/>
                <w:iCs/>
                <w:sz w:val="22"/>
                <w:szCs w:val="22"/>
                <w:lang w:val="en-US"/>
              </w:rPr>
              <w:t xml:space="preserve"> = </w:t>
            </w:r>
            <w:proofErr w:type="spellStart"/>
            <w:proofErr w:type="gramStart"/>
            <w:r w:rsidRPr="00547686">
              <w:rPr>
                <w:i/>
                <w:iCs/>
                <w:sz w:val="22"/>
                <w:szCs w:val="22"/>
                <w:lang w:val="en-US"/>
              </w:rPr>
              <w:t>cov</w:t>
            </w:r>
            <w:proofErr w:type="spellEnd"/>
            <w:r w:rsidRPr="00547686">
              <w:rPr>
                <w:i/>
                <w:iCs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547686">
              <w:rPr>
                <w:i/>
                <w:iCs/>
                <w:sz w:val="22"/>
                <w:szCs w:val="22"/>
                <w:lang w:val="en-US"/>
              </w:rPr>
              <w:t>Ri,Rm</w:t>
            </w:r>
            <w:proofErr w:type="spellEnd"/>
            <w:r w:rsidRPr="00547686">
              <w:rPr>
                <w:i/>
                <w:iCs/>
                <w:sz w:val="22"/>
                <w:szCs w:val="22"/>
                <w:lang w:val="en-US"/>
              </w:rPr>
              <w:t>)/</w:t>
            </w:r>
            <w:r>
              <w:rPr>
                <w:i/>
                <w:iCs/>
                <w:sz w:val="22"/>
                <w:szCs w:val="22"/>
              </w:rPr>
              <w:t>σ</w:t>
            </w:r>
            <w:r w:rsidRPr="00547686">
              <w:rPr>
                <w:i/>
                <w:iCs/>
                <w:sz w:val="22"/>
                <w:szCs w:val="22"/>
                <w:lang w:val="en-US"/>
              </w:rPr>
              <w:t>²m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Базовая (эталонная) модель</w:t>
            </w:r>
          </w:p>
        </w:tc>
      </w:tr>
      <w:tr w:rsidR="00095322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DCAPM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Асимметричный риск снижения доходности (</w:t>
            </w:r>
            <w:proofErr w:type="spellStart"/>
            <w:r>
              <w:rPr>
                <w:sz w:val="22"/>
                <w:szCs w:val="22"/>
              </w:rPr>
              <w:t>полудисперсия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βᵢ = </w:t>
            </w:r>
            <w:proofErr w:type="spellStart"/>
            <w:r>
              <w:rPr>
                <w:i/>
                <w:iCs/>
                <w:sz w:val="22"/>
                <w:szCs w:val="22"/>
              </w:rPr>
              <w:t>cov</w:t>
            </w:r>
            <w:proofErr w:type="spellEnd"/>
            <w:r>
              <w:rPr>
                <w:i/>
                <w:iCs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i/>
                <w:iCs/>
                <w:sz w:val="22"/>
                <w:szCs w:val="22"/>
              </w:rPr>
              <w:t>min</w:t>
            </w:r>
            <w:proofErr w:type="spellEnd"/>
            <w:r>
              <w:rPr>
                <w:i/>
                <w:iCs/>
                <w:sz w:val="22"/>
                <w:szCs w:val="22"/>
              </w:rPr>
              <w:t>(</w:t>
            </w:r>
            <w:proofErr w:type="gramEnd"/>
            <w:r>
              <w:rPr>
                <w:i/>
                <w:iCs/>
                <w:sz w:val="22"/>
                <w:szCs w:val="22"/>
              </w:rPr>
              <w:t>Ri−μi,0)·</w:t>
            </w:r>
            <w:proofErr w:type="spellStart"/>
            <w:r>
              <w:rPr>
                <w:i/>
                <w:iCs/>
                <w:sz w:val="22"/>
                <w:szCs w:val="22"/>
              </w:rPr>
              <w:t>min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(Rm−μm,0)] / </w:t>
            </w:r>
            <w:proofErr w:type="spellStart"/>
            <w:r>
              <w:rPr>
                <w:i/>
                <w:iCs/>
                <w:sz w:val="22"/>
                <w:szCs w:val="22"/>
              </w:rPr>
              <w:t>var</w:t>
            </w:r>
            <w:proofErr w:type="spellEnd"/>
            <w:r>
              <w:rPr>
                <w:i/>
                <w:iCs/>
                <w:sz w:val="22"/>
                <w:szCs w:val="22"/>
              </w:rPr>
              <w:t>[</w:t>
            </w:r>
            <w:proofErr w:type="spellStart"/>
            <w:r>
              <w:rPr>
                <w:i/>
                <w:iCs/>
                <w:sz w:val="22"/>
                <w:szCs w:val="22"/>
              </w:rPr>
              <w:t>min</w:t>
            </w:r>
            <w:proofErr w:type="spellEnd"/>
            <w:r>
              <w:rPr>
                <w:i/>
                <w:iCs/>
                <w:sz w:val="22"/>
                <w:szCs w:val="22"/>
              </w:rPr>
              <w:t>(Rm−μm,0)]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Модификация 1 </w:t>
            </w:r>
            <w:r w:rsidR="00852F3C">
              <w:rPr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учёт асимметрии риска</w:t>
            </w:r>
          </w:p>
        </w:tc>
      </w:tr>
      <w:tr w:rsidR="00095322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Фама–Френч (EM)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Рыночный риск + размер компании (SMB) + стоимость (HML)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>Re=</w:t>
            </w:r>
            <w:proofErr w:type="spellStart"/>
            <w:r>
              <w:rPr>
                <w:i/>
                <w:iCs/>
                <w:sz w:val="22"/>
                <w:szCs w:val="22"/>
              </w:rPr>
              <w:t>Rf</w:t>
            </w:r>
            <w:proofErr w:type="spellEnd"/>
            <w:r>
              <w:rPr>
                <w:i/>
                <w:iCs/>
                <w:sz w:val="22"/>
                <w:szCs w:val="22"/>
              </w:rPr>
              <w:t>+βm(</w:t>
            </w:r>
            <w:proofErr w:type="spellStart"/>
            <w:r>
              <w:rPr>
                <w:i/>
                <w:iCs/>
                <w:sz w:val="22"/>
                <w:szCs w:val="22"/>
              </w:rPr>
              <w:t>Rm−</w:t>
            </w:r>
            <w:proofErr w:type="gramStart"/>
            <w:r>
              <w:rPr>
                <w:i/>
                <w:iCs/>
                <w:sz w:val="22"/>
                <w:szCs w:val="22"/>
              </w:rPr>
              <w:t>Rf</w:t>
            </w:r>
            <w:proofErr w:type="spellEnd"/>
            <w:r>
              <w:rPr>
                <w:i/>
                <w:iCs/>
                <w:sz w:val="22"/>
                <w:szCs w:val="22"/>
              </w:rPr>
              <w:t>)+</w:t>
            </w:r>
            <w:proofErr w:type="gramEnd"/>
            <w:r>
              <w:rPr>
                <w:i/>
                <w:iCs/>
                <w:sz w:val="22"/>
                <w:szCs w:val="22"/>
              </w:rPr>
              <w:t>βSMB·SMB+βHML·HML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Модификация 2 </w:t>
            </w:r>
            <w:r w:rsidR="00852F3C">
              <w:rPr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учёт дополнительных факторов</w:t>
            </w:r>
          </w:p>
        </w:tc>
      </w:tr>
      <w:tr w:rsidR="00095322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Критерии точности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Соответствие расчётной доходности фактической</w:t>
            </w:r>
          </w:p>
        </w:tc>
        <w:tc>
          <w:tcPr>
            <w:tcW w:w="32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Deviation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= |</w:t>
            </w:r>
            <w:proofErr w:type="spellStart"/>
            <w:r>
              <w:rPr>
                <w:i/>
                <w:iCs/>
                <w:sz w:val="22"/>
                <w:szCs w:val="22"/>
              </w:rPr>
              <w:t>Rt−Rr</w:t>
            </w:r>
            <w:proofErr w:type="spellEnd"/>
            <w:r>
              <w:rPr>
                <w:i/>
                <w:iCs/>
                <w:sz w:val="22"/>
                <w:szCs w:val="22"/>
              </w:rPr>
              <w:t>|/Rr×100%; MAD по 10 акциям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Default="00000000">
            <w:pPr>
              <w:jc w:val="center"/>
            </w:pPr>
            <w:r>
              <w:rPr>
                <w:sz w:val="22"/>
                <w:szCs w:val="22"/>
              </w:rPr>
              <w:t>Сопоставление и ранжирование моделей</w:t>
            </w:r>
          </w:p>
        </w:tc>
      </w:tr>
    </w:tbl>
    <w:p w:rsidR="00095322" w:rsidRDefault="00095322"/>
    <w:p w:rsidR="00710521" w:rsidRDefault="00710521">
      <w:pPr>
        <w:ind w:firstLine="567"/>
        <w:jc w:val="both"/>
        <w:rPr>
          <w:b/>
          <w:bCs/>
        </w:rPr>
      </w:pPr>
      <w:r>
        <w:rPr>
          <w:b/>
          <w:bCs/>
        </w:rPr>
        <w:t>Результаты апробации на российском рынке</w:t>
      </w:r>
    </w:p>
    <w:p w:rsidR="00710521" w:rsidRDefault="00000000" w:rsidP="00710521">
      <w:pPr>
        <w:ind w:firstLine="567"/>
        <w:jc w:val="both"/>
      </w:pPr>
      <w:r>
        <w:t xml:space="preserve">Расчёт бета-коэффициентов по формулам (1)–(3) выявил принципиальное различие в ранжировании компаний по риску между моделями. Для классической CAPM максимальные значения беты зафиксированы для AFLT (0,74) и ABIO (0,71), минимальные </w:t>
      </w:r>
      <w:r w:rsidR="00852F3C">
        <w:t xml:space="preserve">– </w:t>
      </w:r>
      <w:r>
        <w:t>для VTBR (0,04) и SBER (0,06); для DCAPM ранжирование иное: наиболее чувствительны к нисходящим движениям рынка YDEX (0,32) и LKOH (0,32), тогда как RUAL, KMAZ, SBER, ABIO и NVTK демонстрируют модифицированную бету ниже 0,06. Это расхождение показательно само по себе: оценка риска, основанная на общей волатильности, и оценка, основанная на риске снижения доходности, дают разные представления об относительной рискованности одних и тех же активов, что закономерно отражается на прогнозных значениях доходности и на итоговой точности моделей (табл. 1).</w:t>
      </w:r>
    </w:p>
    <w:p w:rsidR="00095322" w:rsidRDefault="00000000" w:rsidP="00710521">
      <w:pPr>
        <w:ind w:firstLine="567"/>
        <w:jc w:val="both"/>
      </w:pPr>
      <w:r>
        <w:t xml:space="preserve">Сопоставление расчётной доходности с фактически полученной по каждой из десяти акций показывает систематическое смещение классической модели CAPM в сторону занижения доходности: расчётные значения оказались ниже фактических для девяти акций из десяти, при этом наибольший разрыв зафиксирован для GAZP (5,64% против 21,32% фактических) и NVTK (5,53% против 18,78%) </w:t>
      </w:r>
      <w:r w:rsidR="00852F3C">
        <w:t xml:space="preserve">– </w:t>
      </w:r>
      <w:r>
        <w:t xml:space="preserve">компаний-экспортёров, доходность которых в рассматриваемый период определялась в том числе динамикой сырьевых цен и последствиями внешних ограничений, не улавливаемыми единственным рыночным фактором модели. Модель DCAPM воспроизводит фактическую доходность заметно точнее: для пяти из десяти </w:t>
      </w:r>
      <w:r>
        <w:lastRenderedPageBreak/>
        <w:t xml:space="preserve">акций (RUAL, SBER, AFLT, GAZP, NVTK) отклонение не превышает 15%, а для RUAL, YDEX, VTBR и KMAZ расчётные значения отличаются от фактических менее чем на 6 </w:t>
      </w:r>
      <w:proofErr w:type="spellStart"/>
      <w:r>
        <w:t>п.п</w:t>
      </w:r>
      <w:proofErr w:type="spellEnd"/>
      <w:r>
        <w:t xml:space="preserve">. Модель Фама–Френча показывает промежуточный результат: точность выше, чем у классической CAPM, за счёт учёта факторов размера и стоимости, но ниже, чем у DCAPM, </w:t>
      </w:r>
      <w:r w:rsidR="00852F3C">
        <w:t xml:space="preserve">– </w:t>
      </w:r>
      <w:r>
        <w:t>в частности, для LKOH и ABIO модель, напротив, заметно завышает ожидаемую доходность относительно фактической.</w:t>
      </w:r>
    </w:p>
    <w:p w:rsidR="00095322" w:rsidRDefault="00000000">
      <w:pPr>
        <w:ind w:firstLine="567"/>
        <w:jc w:val="both"/>
      </w:pPr>
      <w:r>
        <w:t>Результаты сопоставления точности моделей по всем десяти акциям обобщены в табл. 2.</w:t>
      </w:r>
    </w:p>
    <w:p w:rsidR="00095322" w:rsidRDefault="00095322"/>
    <w:p w:rsidR="00095322" w:rsidRDefault="00000000">
      <w:pPr>
        <w:spacing w:after="80"/>
        <w:jc w:val="right"/>
      </w:pPr>
      <w:r>
        <w:rPr>
          <w:rFonts w:ascii="Arial" w:eastAsia="Arial" w:hAnsi="Arial" w:cs="Arial"/>
          <w:sz w:val="22"/>
          <w:szCs w:val="22"/>
        </w:rPr>
        <w:t>Таблица 2. Отклонение прогнозной доходности от фактической по моделям, %</w:t>
      </w:r>
    </w:p>
    <w:tbl>
      <w:tblPr>
        <w:tblW w:w="5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50"/>
        <w:gridCol w:w="1550"/>
        <w:gridCol w:w="1550"/>
      </w:tblGrid>
      <w:tr w:rsidR="00095322" w:rsidTr="00255002">
        <w:trPr>
          <w:tblHeader/>
        </w:trPr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Тикер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CAPM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DCAPM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Фама–Френч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YDEX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63,12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9,17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23,88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RUAL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38,21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1,43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22,75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AFLT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47,28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14,37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35,74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SBER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3,20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3,28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6,75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KMAZ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50,14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5,84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12,81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VTBR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8,82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6,13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9,10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ABIO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36,39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60,85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42,66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LKOH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3,80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27,30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50,01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GAZP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73,54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31,48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44,63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NVTK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70,55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14,30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33,90</w:t>
            </w:r>
          </w:p>
        </w:tc>
      </w:tr>
      <w:tr w:rsidR="00095322" w:rsidTr="00255002">
        <w:tc>
          <w:tcPr>
            <w:tcW w:w="130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MAD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5,23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1,92</w:t>
            </w:r>
          </w:p>
        </w:tc>
        <w:tc>
          <w:tcPr>
            <w:tcW w:w="1550" w:type="dxa"/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95322" w:rsidRPr="009220DE" w:rsidRDefault="00000000" w:rsidP="009220DE">
            <w:pPr>
              <w:jc w:val="center"/>
            </w:pPr>
            <w:r w:rsidRPr="009220DE">
              <w:rPr>
                <w:sz w:val="22"/>
                <w:szCs w:val="22"/>
              </w:rPr>
              <w:t>3,27</w:t>
            </w:r>
          </w:p>
        </w:tc>
      </w:tr>
    </w:tbl>
    <w:p w:rsidR="00E54C08" w:rsidRDefault="00E54C08">
      <w:pPr>
        <w:ind w:firstLine="567"/>
        <w:jc w:val="both"/>
        <w:rPr>
          <w:i/>
          <w:iCs/>
          <w:sz w:val="22"/>
          <w:szCs w:val="22"/>
        </w:rPr>
      </w:pPr>
    </w:p>
    <w:p w:rsidR="00095322" w:rsidRDefault="00000000">
      <w:pPr>
        <w:ind w:firstLine="567"/>
        <w:jc w:val="both"/>
      </w:pPr>
      <w:r>
        <w:t xml:space="preserve">Итоговое ранжирование моделей по среднему абсолютному отклонению (MAD) (табл. 2) свидетельствует, что модель DCAPM обеспечивает наиболее точный прогноз доходности на рассматриваемой выборке (MAD = 1,92%), опережая трёхфакторную модель Фама–Френча (MAD = 3,27%) и существенно превосходя классическую CAPM (MAD = 5,23%). Такое ранжирование согласуется с теоретическим объяснением: асимметрия доходностей и повышенная волатильность, характерные для российского рынка в рассматриваемый период, лучше улавливаются мерой риска, основанной на полудисперсии, чем симметричной дисперсией или дополнительными, но по-прежнему симметричными факторами размера и стоимости. Показательно, что наибольшие отклонения всех трёх моделей приходятся на одни и те же бумаги </w:t>
      </w:r>
      <w:r w:rsidR="00852F3C">
        <w:t xml:space="preserve">– </w:t>
      </w:r>
      <w:r>
        <w:t xml:space="preserve">GAZP и NVTK, </w:t>
      </w:r>
      <w:r w:rsidR="00852F3C">
        <w:t xml:space="preserve">– </w:t>
      </w:r>
      <w:r>
        <w:t>что указывает на наличие специфического для этих компаний источника доходности, вероятно связанного с динамикой сырьевых рынков и адресными внешними ограничениями и не объясняемого ни рыночным бета-фактором, ни факторами размера и стоимости в их текущей операционализации.</w:t>
      </w:r>
    </w:p>
    <w:p w:rsidR="00710521" w:rsidRPr="00710521" w:rsidRDefault="00710521">
      <w:pPr>
        <w:ind w:firstLine="567"/>
        <w:jc w:val="both"/>
        <w:rPr>
          <w:b/>
          <w:bCs/>
        </w:rPr>
      </w:pPr>
      <w:r w:rsidRPr="00710521">
        <w:rPr>
          <w:b/>
          <w:bCs/>
        </w:rPr>
        <w:t>Заключение</w:t>
      </w:r>
    </w:p>
    <w:p w:rsidR="00095322" w:rsidRDefault="00000000">
      <w:pPr>
        <w:ind w:firstLine="567"/>
        <w:jc w:val="both"/>
      </w:pPr>
      <w:r>
        <w:t xml:space="preserve">В работе выполнено прямое сопоставление прогностической точности классической модели CAPM и двух её модификаций </w:t>
      </w:r>
      <w:r w:rsidR="00852F3C">
        <w:t xml:space="preserve">– </w:t>
      </w:r>
      <w:r>
        <w:t xml:space="preserve">DCAPM и трёхфакторной модели Фама–Френча, адаптированной для развивающихся рынков, </w:t>
      </w:r>
      <w:r w:rsidR="00852F3C">
        <w:t xml:space="preserve">– </w:t>
      </w:r>
      <w:r>
        <w:t>на едином массиве данных о доходности десяти крупных российских компаний за период с марта 2021 по январь 2025 г. и по единому критерию точности.</w:t>
      </w:r>
    </w:p>
    <w:p w:rsidR="00095322" w:rsidRDefault="00000000">
      <w:pPr>
        <w:ind w:firstLine="567"/>
        <w:jc w:val="both"/>
      </w:pPr>
      <w:r>
        <w:t xml:space="preserve">Апробация показала, что модель DCAPM, определяющая риск через </w:t>
      </w:r>
      <w:proofErr w:type="spellStart"/>
      <w:r>
        <w:t>полудисперсию</w:t>
      </w:r>
      <w:proofErr w:type="spellEnd"/>
      <w:r>
        <w:t xml:space="preserve"> доходности ниже среднего уровня, обеспечивает наиболее точное соответствие расчётной и фактической доходности (среднее абсолютное отклонение 1,92% против 3,27% у модели Фама–Френча и 5,23% у классической CAPM), которая, в свою очередь, систематически </w:t>
      </w:r>
      <w:r>
        <w:lastRenderedPageBreak/>
        <w:t xml:space="preserve">занижает доходность, особенно для акций сырьевых экспортёров. Научный вклад работы состоит в получении сопоставимой эмпирической оценки трёх моделей на общей выборке и по общему критерию, что ранее для российского рынка представлено не было, и в содержательном объяснении полученного ранжирования через структурные особенности рынка </w:t>
      </w:r>
      <w:r w:rsidR="00852F3C">
        <w:t xml:space="preserve">– </w:t>
      </w:r>
      <w:r>
        <w:t>повышенную волатильность и асимметрию доходностей, усиленные внешними ограничениями для отдельных эмитентов.</w:t>
      </w:r>
    </w:p>
    <w:p w:rsidR="00095322" w:rsidRDefault="00000000">
      <w:pPr>
        <w:ind w:firstLine="567"/>
        <w:jc w:val="both"/>
      </w:pPr>
      <w:r>
        <w:t>Полученные результаты имеют практическое значение для оценки стоимости капитала и ожидаемой доходности на российском рынке, указывая на предпочтительность спецификаций, учитывающих асимметрию риска, перед классической CAPM. Вместе с тем результаты ограничены небольшим размером выборки (десять компаний, представляющих преимущественно крупную капитализацию), использованием единственного рыночного бенчмарка и единственного, структурно неоднородного окна наблюдения, включающего как период до шока 2022 г., так и последующую адаптацию к нему, а также отсутствием формальных статистических тестов согласия моделей (в частности, теста Гиббонса–Росса–</w:t>
      </w:r>
      <w:proofErr w:type="spellStart"/>
      <w:r>
        <w:t>Шанкена</w:t>
      </w:r>
      <w:proofErr w:type="spellEnd"/>
      <w:r>
        <w:t xml:space="preserve">, применённого для российского рынка в работе Н. А. </w:t>
      </w:r>
      <w:proofErr w:type="spellStart"/>
      <w:r>
        <w:t>Манушкина</w:t>
      </w:r>
      <w:proofErr w:type="spellEnd"/>
      <w:r>
        <w:t xml:space="preserve"> [15]): используемые показатели отклонения и MAD носят описательный, а не статистически-выводной характер.</w:t>
      </w:r>
    </w:p>
    <w:p w:rsidR="00095322" w:rsidRDefault="00000000">
      <w:pPr>
        <w:ind w:firstLine="567"/>
        <w:jc w:val="both"/>
      </w:pPr>
      <w:r>
        <w:t xml:space="preserve">Дальнейшие исследования должны быть направлены на расширение выборки за счёт компаний разной капитализации и отраслевой принадлежности, применение скользящих окон оценивания и </w:t>
      </w:r>
      <w:proofErr w:type="spellStart"/>
      <w:r>
        <w:t>вневыборочной</w:t>
      </w:r>
      <w:proofErr w:type="spellEnd"/>
      <w:r>
        <w:t xml:space="preserve"> проверки прогнозов, построение факторов SMB и HML непосредственно по российским данным вместо агрегированных факторов для развивающихся рынков, а также на формальную статистическую проверку различий в точности моделей. Отдельного внимания требует устойчивость выявленного ранжирования по мере накопления данных за пределами рассмотренного периода: поскольку адаптация российских компаний к изменившимся внешним условиям носит продолжающийся характер, оценка на более длительном последующем периоде наблюдения позволит проверить, является ли преимущество DCAPM устойчивой характеристикой российского рынка или отражает особенности именно рассмотренного периода.</w:t>
      </w:r>
    </w:p>
    <w:p w:rsidR="00095322" w:rsidRDefault="00000000">
      <w:pPr>
        <w:spacing w:before="200" w:after="100"/>
      </w:pPr>
      <w:r>
        <w:rPr>
          <w:b/>
          <w:bCs/>
        </w:rPr>
        <w:t>Список использованных источников</w:t>
      </w:r>
    </w:p>
    <w:p w:rsidR="00255002" w:rsidRPr="007A0AB8" w:rsidRDefault="00255002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255002">
        <w:rPr>
          <w:lang w:val="en-US"/>
        </w:rPr>
        <w:t>Markowitz</w:t>
      </w:r>
      <w:r w:rsidRPr="007A0AB8">
        <w:rPr>
          <w:lang w:val="en-US"/>
        </w:rPr>
        <w:t xml:space="preserve"> </w:t>
      </w:r>
      <w:r w:rsidRPr="00255002">
        <w:rPr>
          <w:lang w:val="en-US"/>
        </w:rPr>
        <w:t>H</w:t>
      </w:r>
      <w:r w:rsidRPr="007A0AB8">
        <w:rPr>
          <w:lang w:val="en-US"/>
        </w:rPr>
        <w:t>.</w:t>
      </w:r>
      <w:r w:rsidRPr="00255002">
        <w:rPr>
          <w:lang w:val="en-US"/>
        </w:rPr>
        <w:t>M</w:t>
      </w:r>
      <w:r w:rsidRPr="007A0AB8">
        <w:rPr>
          <w:lang w:val="en-US"/>
        </w:rPr>
        <w:t xml:space="preserve">. </w:t>
      </w:r>
      <w:r w:rsidRPr="00255002">
        <w:rPr>
          <w:lang w:val="en-US"/>
        </w:rPr>
        <w:t>Portfolio</w:t>
      </w:r>
      <w:r w:rsidRPr="007A0AB8">
        <w:rPr>
          <w:lang w:val="en-US"/>
        </w:rPr>
        <w:t xml:space="preserve"> </w:t>
      </w:r>
      <w:r w:rsidRPr="00255002">
        <w:rPr>
          <w:lang w:val="en-US"/>
        </w:rPr>
        <w:t>Selection</w:t>
      </w:r>
      <w:r w:rsidRPr="007A0AB8">
        <w:rPr>
          <w:lang w:val="en-US"/>
        </w:rPr>
        <w:t xml:space="preserve"> // </w:t>
      </w:r>
      <w:r w:rsidRPr="00255002">
        <w:rPr>
          <w:lang w:val="en-US"/>
        </w:rPr>
        <w:t>The</w:t>
      </w:r>
      <w:r w:rsidRPr="007A0AB8">
        <w:rPr>
          <w:lang w:val="en-US"/>
        </w:rPr>
        <w:t xml:space="preserve"> </w:t>
      </w:r>
      <w:r w:rsidRPr="00255002">
        <w:rPr>
          <w:lang w:val="en-US"/>
        </w:rPr>
        <w:t>Journal</w:t>
      </w:r>
      <w:r w:rsidRPr="007A0AB8">
        <w:rPr>
          <w:lang w:val="en-US"/>
        </w:rPr>
        <w:t xml:space="preserve"> </w:t>
      </w:r>
      <w:r w:rsidRPr="00255002">
        <w:rPr>
          <w:lang w:val="en-US"/>
        </w:rPr>
        <w:t>of</w:t>
      </w:r>
      <w:r w:rsidRPr="007A0AB8">
        <w:rPr>
          <w:lang w:val="en-US"/>
        </w:rPr>
        <w:t xml:space="preserve"> </w:t>
      </w:r>
      <w:r w:rsidRPr="00255002">
        <w:rPr>
          <w:lang w:val="en-US"/>
        </w:rPr>
        <w:t>Finance</w:t>
      </w:r>
      <w:r w:rsidRPr="007A0AB8">
        <w:rPr>
          <w:lang w:val="en-US"/>
        </w:rPr>
        <w:t xml:space="preserve">. – 1952. – </w:t>
      </w:r>
      <w:r w:rsidRPr="00255002">
        <w:rPr>
          <w:lang w:val="en-US"/>
        </w:rPr>
        <w:t>V</w:t>
      </w:r>
      <w:r w:rsidRPr="007A0AB8">
        <w:rPr>
          <w:lang w:val="en-US"/>
        </w:rPr>
        <w:t xml:space="preserve">. 7. – № 3. – </w:t>
      </w:r>
      <w:r w:rsidRPr="00255002">
        <w:t>Р</w:t>
      </w:r>
      <w:r w:rsidRPr="007A0AB8">
        <w:rPr>
          <w:lang w:val="en-US"/>
        </w:rPr>
        <w:t>. 77–91.</w:t>
      </w:r>
    </w:p>
    <w:p w:rsidR="00255002" w:rsidRDefault="00255002" w:rsidP="00FC39AE">
      <w:pPr>
        <w:pStyle w:val="a4"/>
        <w:numPr>
          <w:ilvl w:val="0"/>
          <w:numId w:val="3"/>
        </w:numPr>
        <w:spacing w:after="60"/>
        <w:jc w:val="both"/>
      </w:pPr>
      <w:proofErr w:type="spellStart"/>
      <w:r w:rsidRPr="00255002">
        <w:t>Берзон</w:t>
      </w:r>
      <w:proofErr w:type="spellEnd"/>
      <w:r w:rsidRPr="00255002">
        <w:t xml:space="preserve"> Н.И., Володин С.Н. Оценка финансовых активов по критерию «риск – доходность» с учётом длительности инвестирования // Экономический журнал ВШЭ. – 2010. – № 3.</w:t>
      </w:r>
    </w:p>
    <w:p w:rsidR="00095322" w:rsidRPr="00FC39AE" w:rsidRDefault="00000000" w:rsidP="00FC39AE">
      <w:pPr>
        <w:pStyle w:val="a4"/>
        <w:numPr>
          <w:ilvl w:val="0"/>
          <w:numId w:val="3"/>
        </w:numPr>
        <w:spacing w:after="60"/>
        <w:jc w:val="both"/>
      </w:pPr>
      <w:r w:rsidRPr="00FC39AE">
        <w:t xml:space="preserve">Шарп У.Ф., Александер </w:t>
      </w:r>
      <w:proofErr w:type="spellStart"/>
      <w:r w:rsidRPr="00FC39AE">
        <w:t>Г.Дж</w:t>
      </w:r>
      <w:proofErr w:type="spellEnd"/>
      <w:r w:rsidRPr="00FC39AE">
        <w:t xml:space="preserve">., Бэйли </w:t>
      </w:r>
      <w:proofErr w:type="spellStart"/>
      <w:r w:rsidRPr="00FC39AE">
        <w:t>Дж.В</w:t>
      </w:r>
      <w:proofErr w:type="spellEnd"/>
      <w:r w:rsidRPr="00FC39AE">
        <w:t>. Инвестиции: пер. с англ. – М.: ИНФРА-М, 1997. – 1024 с.</w:t>
      </w:r>
    </w:p>
    <w:p w:rsidR="00095322" w:rsidRPr="00255002" w:rsidRDefault="00000000" w:rsidP="00FC39AE">
      <w:pPr>
        <w:pStyle w:val="a4"/>
        <w:numPr>
          <w:ilvl w:val="0"/>
          <w:numId w:val="3"/>
        </w:numPr>
        <w:spacing w:after="60"/>
        <w:jc w:val="both"/>
      </w:pPr>
      <w:proofErr w:type="spellStart"/>
      <w:r w:rsidRPr="00255002">
        <w:t>Аскинадзи</w:t>
      </w:r>
      <w:proofErr w:type="spellEnd"/>
      <w:r w:rsidRPr="00255002">
        <w:t xml:space="preserve"> В.М., Максимова В.Ф. Инвестиции: учебник для вузов. – 3-е изд. – М.: </w:t>
      </w:r>
      <w:proofErr w:type="spellStart"/>
      <w:r w:rsidRPr="00255002">
        <w:t>Юрайт</w:t>
      </w:r>
      <w:proofErr w:type="spellEnd"/>
      <w:r w:rsidRPr="00255002">
        <w:t>, 2024. – 386 с.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Levy R.A. On the Short-Term Stationarity of Beta Coefficient // Financial Analysts Journal. – 1971. – V. 27. – № 6. – </w:t>
      </w:r>
      <w:r w:rsidRPr="00FC39AE">
        <w:rPr>
          <w:lang w:val="en-US"/>
        </w:rPr>
        <w:t>Р</w:t>
      </w:r>
      <w:r w:rsidRPr="00547686">
        <w:rPr>
          <w:lang w:val="en-US"/>
        </w:rPr>
        <w:t>. 55–62.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Blume M.E. Betas and their regression tendencies // The Journal of Finance. – 1975. – V. 30. – № 3. – </w:t>
      </w:r>
      <w:r w:rsidRPr="00FC39AE">
        <w:rPr>
          <w:lang w:val="en-US"/>
        </w:rPr>
        <w:t>Р</w:t>
      </w:r>
      <w:r w:rsidRPr="00547686">
        <w:rPr>
          <w:lang w:val="en-US"/>
        </w:rPr>
        <w:t>. 785–795.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proofErr w:type="spellStart"/>
      <w:r w:rsidRPr="00547686">
        <w:rPr>
          <w:lang w:val="en-US"/>
        </w:rPr>
        <w:t>Fama</w:t>
      </w:r>
      <w:proofErr w:type="spellEnd"/>
      <w:r w:rsidRPr="00547686">
        <w:rPr>
          <w:lang w:val="en-US"/>
        </w:rPr>
        <w:t xml:space="preserve"> E.F., French K.R. Common risk factors in the returns on stocks and bonds // Journal of Financial Economics. – 1993. – V. 33. – </w:t>
      </w:r>
      <w:r w:rsidRPr="00FC39AE">
        <w:rPr>
          <w:lang w:val="en-US"/>
        </w:rPr>
        <w:t>Р</w:t>
      </w:r>
      <w:r w:rsidRPr="00547686">
        <w:rPr>
          <w:lang w:val="en-US"/>
        </w:rPr>
        <w:t>. 3–56.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Roll R. A Critique of the Asset Pricing Theory's Tests. Part I: On Past and Potential Testability of the Theory // Journal of Financial Economics. – 1977. – V. 4. – № 2. – </w:t>
      </w:r>
      <w:r w:rsidRPr="00FC39AE">
        <w:rPr>
          <w:lang w:val="en-US"/>
        </w:rPr>
        <w:t>Р</w:t>
      </w:r>
      <w:r w:rsidRPr="00547686">
        <w:rPr>
          <w:lang w:val="en-US"/>
        </w:rPr>
        <w:t>. 129–176.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lastRenderedPageBreak/>
        <w:t xml:space="preserve">Roy A.D. Safety First and the Holding of Assets // </w:t>
      </w:r>
      <w:proofErr w:type="spellStart"/>
      <w:r w:rsidRPr="00547686">
        <w:rPr>
          <w:lang w:val="en-US"/>
        </w:rPr>
        <w:t>Econometrica</w:t>
      </w:r>
      <w:proofErr w:type="spellEnd"/>
      <w:r w:rsidRPr="00547686">
        <w:rPr>
          <w:lang w:val="en-US"/>
        </w:rPr>
        <w:t xml:space="preserve">. – 1952. – V. 20. – № 3. – </w:t>
      </w:r>
      <w:r w:rsidRPr="00FC39AE">
        <w:rPr>
          <w:lang w:val="en-US"/>
        </w:rPr>
        <w:t>Р</w:t>
      </w:r>
      <w:r w:rsidRPr="00547686">
        <w:rPr>
          <w:lang w:val="en-US"/>
        </w:rPr>
        <w:t>. 431–449.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Hogan W.W., Warren J.M. Toward the Development of an Equilibrium Capital-Market Model Based on Semivariance // The Journal of Financial and Quantitative Analysis. – 1974. – V. 9. – № 1. – </w:t>
      </w:r>
      <w:r w:rsidRPr="00FC39AE">
        <w:rPr>
          <w:lang w:val="en-US"/>
        </w:rPr>
        <w:t>Р</w:t>
      </w:r>
      <w:r w:rsidRPr="00547686">
        <w:rPr>
          <w:lang w:val="en-US"/>
        </w:rPr>
        <w:t>. 1–11.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Harlow W.V., Rao R.K. Asset Pricing in a Generalized Mean-Lower Partial Moment Framework: Theory and Evidence // The Journal of Financial and Quantitative Analysis. – 1989. – V. 24. – № 3. – </w:t>
      </w:r>
      <w:r w:rsidRPr="00FC39AE">
        <w:rPr>
          <w:lang w:val="en-US"/>
        </w:rPr>
        <w:t>Р</w:t>
      </w:r>
      <w:r w:rsidRPr="00547686">
        <w:rPr>
          <w:lang w:val="en-US"/>
        </w:rPr>
        <w:t>. 285–311.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Estrada J. Systematic risk in emerging markets: the D-CAPM // Emerging Markets Review. – 2002. – V. 3. – </w:t>
      </w:r>
      <w:r w:rsidRPr="00FC39AE">
        <w:rPr>
          <w:lang w:val="en-US"/>
        </w:rPr>
        <w:t>Р</w:t>
      </w:r>
      <w:r w:rsidRPr="00547686">
        <w:rPr>
          <w:lang w:val="en-US"/>
        </w:rPr>
        <w:t>. 365–379.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 xml:space="preserve">Estrada J. Mean-semivariance behavior: Downside risk and capital asset pricing // International Review of Economics and Finance. – 2007. – V. 16. – № 2. – </w:t>
      </w:r>
      <w:r w:rsidRPr="00FC39AE">
        <w:rPr>
          <w:lang w:val="en-US"/>
        </w:rPr>
        <w:t>Р</w:t>
      </w:r>
      <w:r w:rsidRPr="00547686">
        <w:rPr>
          <w:lang w:val="en-US"/>
        </w:rPr>
        <w:t>. 169–185.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proofErr w:type="spellStart"/>
      <w:r w:rsidRPr="00547686">
        <w:rPr>
          <w:lang w:val="en-US"/>
        </w:rPr>
        <w:t>Fama</w:t>
      </w:r>
      <w:proofErr w:type="spellEnd"/>
      <w:r w:rsidRPr="00547686">
        <w:rPr>
          <w:lang w:val="en-US"/>
        </w:rPr>
        <w:t xml:space="preserve"> E.F., French K.R. The Capital Asset Pricing Model: Theory and Evidence // Journal of Economic Perspectives. – 2003. – V. 18. – № 3. – </w:t>
      </w:r>
      <w:r w:rsidRPr="00FC39AE">
        <w:rPr>
          <w:lang w:val="en-US"/>
        </w:rPr>
        <w:t>Р</w:t>
      </w:r>
      <w:r w:rsidRPr="00547686">
        <w:rPr>
          <w:lang w:val="en-US"/>
        </w:rPr>
        <w:t>. 25–46.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proofErr w:type="spellStart"/>
      <w:r w:rsidRPr="00547686">
        <w:rPr>
          <w:lang w:val="en-US"/>
        </w:rPr>
        <w:t>Manushkin</w:t>
      </w:r>
      <w:proofErr w:type="spellEnd"/>
      <w:r w:rsidRPr="00547686">
        <w:rPr>
          <w:lang w:val="en-US"/>
        </w:rPr>
        <w:t xml:space="preserve"> N.A. Application of </w:t>
      </w:r>
      <w:proofErr w:type="spellStart"/>
      <w:r w:rsidRPr="00547686">
        <w:rPr>
          <w:lang w:val="en-US"/>
        </w:rPr>
        <w:t>Fama</w:t>
      </w:r>
      <w:proofErr w:type="spellEnd"/>
      <w:r w:rsidRPr="00547686">
        <w:rPr>
          <w:lang w:val="en-US"/>
        </w:rPr>
        <w:t>-French Five Factor Model on the Russian Market: WP BRP 95/FE/2024. – Moscow: National Research University Higher School of Economics, 2024.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proofErr w:type="spellStart"/>
      <w:r w:rsidRPr="00547686">
        <w:rPr>
          <w:lang w:val="en-US"/>
        </w:rPr>
        <w:t>Chernova</w:t>
      </w:r>
      <w:proofErr w:type="spellEnd"/>
      <w:r w:rsidRPr="00547686">
        <w:rPr>
          <w:lang w:val="en-US"/>
        </w:rPr>
        <w:t xml:space="preserve"> M., </w:t>
      </w:r>
      <w:proofErr w:type="spellStart"/>
      <w:r w:rsidRPr="00547686">
        <w:rPr>
          <w:lang w:val="en-US"/>
        </w:rPr>
        <w:t>Akhmetzyanov</w:t>
      </w:r>
      <w:proofErr w:type="spellEnd"/>
      <w:r w:rsidRPr="00547686">
        <w:rPr>
          <w:lang w:val="en-US"/>
        </w:rPr>
        <w:t xml:space="preserve"> T. Evolution of Factor Pricing Models and Their Application in the Russian Financial Market // Journal of Corporate Finance Research (</w:t>
      </w:r>
      <w:proofErr w:type="spellStart"/>
      <w:r w:rsidRPr="00FC39AE">
        <w:rPr>
          <w:lang w:val="en-US"/>
        </w:rPr>
        <w:t>Корпоративные</w:t>
      </w:r>
      <w:proofErr w:type="spellEnd"/>
      <w:r w:rsidRPr="00547686">
        <w:rPr>
          <w:lang w:val="en-US"/>
        </w:rPr>
        <w:t xml:space="preserve"> </w:t>
      </w:r>
      <w:proofErr w:type="spellStart"/>
      <w:r w:rsidRPr="00FC39AE">
        <w:rPr>
          <w:lang w:val="en-US"/>
        </w:rPr>
        <w:t>финансы</w:t>
      </w:r>
      <w:proofErr w:type="spellEnd"/>
      <w:r w:rsidRPr="00547686">
        <w:rPr>
          <w:lang w:val="en-US"/>
        </w:rPr>
        <w:t>). – 2025. – V. 19. – № 2.</w:t>
      </w:r>
    </w:p>
    <w:p w:rsidR="00095322" w:rsidRPr="00547686" w:rsidRDefault="00000000" w:rsidP="00FC39AE">
      <w:pPr>
        <w:pStyle w:val="a4"/>
        <w:numPr>
          <w:ilvl w:val="0"/>
          <w:numId w:val="3"/>
        </w:numPr>
        <w:spacing w:after="60"/>
        <w:jc w:val="both"/>
        <w:rPr>
          <w:lang w:val="en-US"/>
        </w:rPr>
      </w:pPr>
      <w:r w:rsidRPr="00547686">
        <w:rPr>
          <w:lang w:val="en-US"/>
        </w:rPr>
        <w:t>Khan N. Evaluating the resilience of asset pricing models during crises: evidence from Russia's economic recession, COVID-19 pandemic, and the Russia–Ukraine war // SN Business &amp; Economics. – 2026. – V. 6. – Art. 185.</w:t>
      </w:r>
    </w:p>
    <w:p w:rsidR="00095322" w:rsidRPr="00255002" w:rsidRDefault="00000000" w:rsidP="00FC39AE">
      <w:pPr>
        <w:pStyle w:val="a4"/>
        <w:numPr>
          <w:ilvl w:val="0"/>
          <w:numId w:val="3"/>
        </w:numPr>
        <w:spacing w:after="60"/>
        <w:jc w:val="both"/>
      </w:pPr>
      <w:r w:rsidRPr="00255002">
        <w:t xml:space="preserve">Абрамов А.Е., </w:t>
      </w:r>
      <w:proofErr w:type="spellStart"/>
      <w:r w:rsidRPr="00255002">
        <w:t>Радыгин</w:t>
      </w:r>
      <w:proofErr w:type="spellEnd"/>
      <w:r w:rsidRPr="00255002">
        <w:t xml:space="preserve"> А.Д., Чернова М.И. Эффективность управления портфелями паевых инвестиционных фондов акций и её оценка // Экономическая политика. – 2019. – № 4.</w:t>
      </w:r>
    </w:p>
    <w:sectPr w:rsidR="00095322" w:rsidRPr="00255002">
      <w:pgSz w:w="11906" w:h="16838"/>
      <w:pgMar w:top="1417" w:right="1134" w:bottom="1417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A40D7"/>
    <w:multiLevelType w:val="hybridMultilevel"/>
    <w:tmpl w:val="9392AF60"/>
    <w:lvl w:ilvl="0" w:tplc="88DCC9DE">
      <w:start w:val="1"/>
      <w:numFmt w:val="decimal"/>
      <w:lvlText w:val="%1."/>
      <w:lvlJc w:val="left"/>
      <w:pPr>
        <w:ind w:left="340" w:hanging="340"/>
      </w:pPr>
    </w:lvl>
    <w:lvl w:ilvl="1" w:tplc="F99688B8">
      <w:numFmt w:val="decimal"/>
      <w:lvlText w:val=""/>
      <w:lvlJc w:val="left"/>
    </w:lvl>
    <w:lvl w:ilvl="2" w:tplc="69682D6C">
      <w:numFmt w:val="decimal"/>
      <w:lvlText w:val=""/>
      <w:lvlJc w:val="left"/>
    </w:lvl>
    <w:lvl w:ilvl="3" w:tplc="E35E4324">
      <w:numFmt w:val="decimal"/>
      <w:lvlText w:val=""/>
      <w:lvlJc w:val="left"/>
    </w:lvl>
    <w:lvl w:ilvl="4" w:tplc="06BE2874">
      <w:numFmt w:val="decimal"/>
      <w:lvlText w:val=""/>
      <w:lvlJc w:val="left"/>
    </w:lvl>
    <w:lvl w:ilvl="5" w:tplc="4E2A09D6">
      <w:numFmt w:val="decimal"/>
      <w:lvlText w:val=""/>
      <w:lvlJc w:val="left"/>
    </w:lvl>
    <w:lvl w:ilvl="6" w:tplc="A5EA9964">
      <w:numFmt w:val="decimal"/>
      <w:lvlText w:val=""/>
      <w:lvlJc w:val="left"/>
    </w:lvl>
    <w:lvl w:ilvl="7" w:tplc="FD8A610E">
      <w:numFmt w:val="decimal"/>
      <w:lvlText w:val=""/>
      <w:lvlJc w:val="left"/>
    </w:lvl>
    <w:lvl w:ilvl="8" w:tplc="C918252A">
      <w:numFmt w:val="decimal"/>
      <w:lvlText w:val=""/>
      <w:lvlJc w:val="left"/>
    </w:lvl>
  </w:abstractNum>
  <w:abstractNum w:abstractNumId="1" w15:restartNumberingAfterBreak="0">
    <w:nsid w:val="2F940ED1"/>
    <w:multiLevelType w:val="hybridMultilevel"/>
    <w:tmpl w:val="449200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A400D"/>
    <w:multiLevelType w:val="hybridMultilevel"/>
    <w:tmpl w:val="F82EBAD6"/>
    <w:lvl w:ilvl="0" w:tplc="17544844">
      <w:start w:val="1"/>
      <w:numFmt w:val="bullet"/>
      <w:lvlText w:val="●"/>
      <w:lvlJc w:val="left"/>
      <w:pPr>
        <w:ind w:left="720" w:hanging="360"/>
      </w:pPr>
    </w:lvl>
    <w:lvl w:ilvl="1" w:tplc="A574C624">
      <w:start w:val="1"/>
      <w:numFmt w:val="bullet"/>
      <w:lvlText w:val="○"/>
      <w:lvlJc w:val="left"/>
      <w:pPr>
        <w:ind w:left="1440" w:hanging="360"/>
      </w:pPr>
    </w:lvl>
    <w:lvl w:ilvl="2" w:tplc="EF647CB8">
      <w:start w:val="1"/>
      <w:numFmt w:val="bullet"/>
      <w:lvlText w:val="■"/>
      <w:lvlJc w:val="left"/>
      <w:pPr>
        <w:ind w:left="2160" w:hanging="360"/>
      </w:pPr>
    </w:lvl>
    <w:lvl w:ilvl="3" w:tplc="33825626">
      <w:start w:val="1"/>
      <w:numFmt w:val="bullet"/>
      <w:lvlText w:val="●"/>
      <w:lvlJc w:val="left"/>
      <w:pPr>
        <w:ind w:left="2880" w:hanging="360"/>
      </w:pPr>
    </w:lvl>
    <w:lvl w:ilvl="4" w:tplc="4BDA80F6">
      <w:start w:val="1"/>
      <w:numFmt w:val="bullet"/>
      <w:lvlText w:val="○"/>
      <w:lvlJc w:val="left"/>
      <w:pPr>
        <w:ind w:left="3600" w:hanging="360"/>
      </w:pPr>
    </w:lvl>
    <w:lvl w:ilvl="5" w:tplc="E26856CE">
      <w:start w:val="1"/>
      <w:numFmt w:val="bullet"/>
      <w:lvlText w:val="■"/>
      <w:lvlJc w:val="left"/>
      <w:pPr>
        <w:ind w:left="4320" w:hanging="360"/>
      </w:pPr>
    </w:lvl>
    <w:lvl w:ilvl="6" w:tplc="A88A4E28">
      <w:start w:val="1"/>
      <w:numFmt w:val="bullet"/>
      <w:lvlText w:val="●"/>
      <w:lvlJc w:val="left"/>
      <w:pPr>
        <w:ind w:left="5040" w:hanging="360"/>
      </w:pPr>
    </w:lvl>
    <w:lvl w:ilvl="7" w:tplc="BEBE239E">
      <w:start w:val="1"/>
      <w:numFmt w:val="bullet"/>
      <w:lvlText w:val="●"/>
      <w:lvlJc w:val="left"/>
      <w:pPr>
        <w:ind w:left="5760" w:hanging="360"/>
      </w:pPr>
    </w:lvl>
    <w:lvl w:ilvl="8" w:tplc="BFF82E12">
      <w:start w:val="1"/>
      <w:numFmt w:val="bullet"/>
      <w:lvlText w:val="●"/>
      <w:lvlJc w:val="left"/>
      <w:pPr>
        <w:ind w:left="6480" w:hanging="360"/>
      </w:pPr>
    </w:lvl>
  </w:abstractNum>
  <w:num w:numId="1" w16cid:durableId="1919048665">
    <w:abstractNumId w:val="2"/>
    <w:lvlOverride w:ilvl="0">
      <w:startOverride w:val="1"/>
    </w:lvlOverride>
  </w:num>
  <w:num w:numId="2" w16cid:durableId="717050137">
    <w:abstractNumId w:val="0"/>
    <w:lvlOverride w:ilvl="0">
      <w:startOverride w:val="1"/>
    </w:lvlOverride>
  </w:num>
  <w:num w:numId="3" w16cid:durableId="132369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322"/>
    <w:rsid w:val="0009165C"/>
    <w:rsid w:val="000925EE"/>
    <w:rsid w:val="00095322"/>
    <w:rsid w:val="000B7A1D"/>
    <w:rsid w:val="001804FF"/>
    <w:rsid w:val="001F4F79"/>
    <w:rsid w:val="00255002"/>
    <w:rsid w:val="003029D5"/>
    <w:rsid w:val="003E6906"/>
    <w:rsid w:val="00547686"/>
    <w:rsid w:val="005564B0"/>
    <w:rsid w:val="005C471A"/>
    <w:rsid w:val="00690AA9"/>
    <w:rsid w:val="00710521"/>
    <w:rsid w:val="007303BF"/>
    <w:rsid w:val="007A0AB8"/>
    <w:rsid w:val="00852F3C"/>
    <w:rsid w:val="008A6B67"/>
    <w:rsid w:val="008A73C2"/>
    <w:rsid w:val="009220DE"/>
    <w:rsid w:val="00964820"/>
    <w:rsid w:val="00971FBC"/>
    <w:rsid w:val="009957EA"/>
    <w:rsid w:val="00A21C5B"/>
    <w:rsid w:val="00AF452E"/>
    <w:rsid w:val="00E54C08"/>
    <w:rsid w:val="00EA50D3"/>
    <w:rsid w:val="00ED1F09"/>
    <w:rsid w:val="00F0371D"/>
    <w:rsid w:val="00FC39AE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4D80AB"/>
  <w15:docId w15:val="{E304A3F1-24C6-3941-A5A5-5094D48B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1F4F79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1F4F7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2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9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4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rl.ale.dm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3120</Words>
  <Characters>17785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orl.ale.dmi@gmail.com</cp:lastModifiedBy>
  <cp:revision>3</cp:revision>
  <dcterms:created xsi:type="dcterms:W3CDTF">2026-09-07T20:02:00Z</dcterms:created>
  <dcterms:modified xsi:type="dcterms:W3CDTF">2026-09-07T20:07:00Z</dcterms:modified>
</cp:coreProperties>
</file>