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УДК [индекс УДК — требуется уточнение автором]</w:t>
      </w:r>
    </w:p>
    <w:p>
      <w:pPr>
        <w:spacing w:after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CAPM, DCAPM И МОДЕЛЬ ФАМА–ФРЕНЧА НА РОССИЙСКОМ ФОНДОВОМ РЫНКЕ: СРАВНИТЕЛЬНАЯ ОЦЕНКА ТОЧНОСТИ ПРОГНОЗИРОВАНИЯ ДОХОДНОСТИ</w:t>
      </w:r>
    </w:p>
    <w:p>
      <w:pPr>
        <w:spacing w:after="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Орлова А.Д. (студент, Санкт-Петербургский государственный университет)</w:t>
      </w:r>
    </w:p>
    <w:p>
      <w:pPr>
        <w:spacing w:after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Научный руководитель: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канд. экон. наук, доцент Алипов А.С. (Санкт-Петербургский государственный университет)</w:t>
      </w:r>
    </w:p>
    <w:p>
      <w:pPr>
        <w:spacing w:after="200" w:line="240"/>
        <w:ind w:firstLine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e-mail: orl.ale.dmi@gmail.com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Оценка ожидаемой доходности акций остаётся одной из ключевых задач инвестиционного анализа, и модель CAPM по-прежнему выступает базовым инструментом её решения, несмотря на широко документированное расхождение её предпосылок — симметричность риска, единственный систематический фактор, однородные ожидания инвесторов — с условиями функционирования развивающихся рынков. Цель работы состоит в сравнении точности прогнозирования доходности классической модели CAPM и двух её модификаций: модели с учётом асимметрии риска (DCAPM) и трёхфакторной модели Фама–Френча, адаптированной для развивающихся рынков. Апробация выполнена на выборке из десяти крупнейших российских публичных компаний по месячным данным за период с марта 2021 по январь 2025 г. относительно индекса RTSI; точность моделей оценивается через процентное отклонение прогнозной доходности от фактической и среднее абсолютное отклонение (MAD). Установлено, что модель DCAPM демонстрирует наименьшее отклонение (MAD = 1,92%) против 3,27% у модели Фама–Френча и 5,23% у классической CAPM, которая систематически занижает доходность, особенно для акций сырьевых экспортёров. Результаты свидетельствуют о предпочтительности спецификаций, учитывающих асимметрию риска, для прикладной оценки доходности на российском рынке акций и уточняют границы применимости классической модели в условиях повышенной волатильности.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Ключевые слова: модель CAPM; DCAPM; трёхфакторная модель Фама–Френча; бета-коэффициент; асимметрия риска; полудисперсия; российский фондовый рынок; развивающиеся рынки; точность прогнозирования; среднее абсолютное отклонение.</w:t>
      </w:r>
    </w:p>
    <w:p>
      <w:pPr>
        <w:spacing w:after="10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Введение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Оценка ожидаемой доходности финансового актива относительно принимаемого инвестором риска остаётся одной из центральных задач корпоративных финансов и инвестиционного анализа: от её решения зависят оценка стоимости капитала компании, построение инвестиционных портфелей и обоснование ставок дисконтирования. Начиная с формализации однофакторной модели ценообразования капитальных активов (CAPM) У. Шарпом, Дж. Линтнером и Дж. Трейнором на основе портфельной теории Г. Марковица, связь ожидаемой доходности актива с его систематическим (недиверсифицируемым) риском, измеряемым бета-коэффициентом, стала базовым инструментом такой оценки.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Вместе с тем предпосылки, на которых построена классическая CAPM, — однородность ожиданий инвесторов, отсутствие транзакционных издержек и налогов, симметричность риска, измеряемого дисперсией доходности, достаточность единственного рыночного фактора для объяснения доходности — уже в 1970–1990-е годы были поставлены под сомнение эмпирическими исследованиями. Была показана нестабильность бета-коэффициента во времени, ограниченная объяснительная сила однофакторной модели для кросс-секционных различий доходности между компаниями разного размера, а также несоответствие модели поведению инвесторов, которые реагируют на потери сильнее, чем на симметричные выигрыши.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ответ на эти ограничения сложились два самостоятельных направления модификации CAPM. Первое переопределяет риск асимметрично — через полудисперсию (semivariance), то есть колебания доходности ниже среднего или целевого уровня; на этой основе построена модель DCAPM, для которой показана более высокая объяснительная сила именно на развивающихся рынках, характеризующихся повышенной волатильностью и скошенностью распределения доходностей. Второе направление расширяет число систематических факторов: трёхфакторная модель Фама–Френча добавляет к рыночному риску премии за размер компании и за соотношение балансовой и рыночной стоимости.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Российский фондовый рынок обладает структурными особенностями — высокой концентрацией капитализации в сырьевых и подсанкционных эмитентах, повышенной и изменяющейся во времени волатильностью, чувствительностью к геополитическим шокам, — которые потенциально усиливают именно те отклонения от предпосылок CAPM, что послужили основанием для разработки DCAPM и модели Фама–Френча. Однако прямое сопоставление точности прогнозирования этих моделей на едином массиве данных и по единому критерию для российского рынка представлено ограниченно: большинство отечественных прикладных работ тестируют одну модель изолированно либо опираются на критерии статистической значимости коэффициентов без сопоставления точности точечного прогноза доходности между моделями.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Научная проблема состоит в отсутствии систематического сравнения прогностической точности классической CAPM и двух альтернативных спецификаций — учитывающей асимметрию риска и учитывающей дополнительные систематические факторы — на общей выборке российских компаний и по общему критерию точности, что не позволяет дать обоснованную практическую рекомендацию о выборе модели для оценки ожидаемой доходности в условиях российского рынка.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работе решается эта задача: строятся и сопоставляются классическая модель CAPM, модель DCAPM и адаптированная для развивающихся рынков трёхфакторная модель Фама–Френча на месячных данных десяти крупных российских эмитентов за период с марта 2021 по январь 2025 г. относительно индекса RTSI; точность моделей оценивается через отклонение прогнозной доходности от фактически полученной и через среднее абсолютное отклонение, на основании чего формулируется вывод о предпочтительной спецификации для практической оценки доходности акций на российском рынке.</w:t>
      </w:r>
    </w:p>
    <w:p>
      <w:pPr>
        <w:spacing w:after="10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Теоретические основы и постановка проблемы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Модель CAPM формализует связь ожидаемой доходности актива с его систематическим риском, опираясь на портфельную теорию Г. Марковица [1]:</w:t>
      </w:r>
    </w:p>
    <w:p>
      <w:pPr>
        <w:spacing w:after="100" w:before="100" w:line="240"/>
        <w:jc w:val="left"/>
      </w:pPr>
      <m:oMath>
        <m:sSub>
          <m:sSubPr/>
          <m:e>
            <m:r>
              <m:t>R</m:t>
            </m:r>
          </m:e>
          <m:sub>
            <m:r>
              <m:t>e</m:t>
            </m:r>
          </m:sub>
        </m:sSub>
        <m:r>
          <m:t> = </m:t>
        </m:r>
        <m:sSub>
          <m:sSubPr/>
          <m:e>
            <m:r>
              <m:t>R</m:t>
            </m:r>
          </m:e>
          <m:sub>
            <m:r>
              <m:t>f</m:t>
            </m:r>
          </m:sub>
        </m:sSub>
        <m:r>
          <m:t> + </m:t>
        </m:r>
        <m:r>
          <m:t>β</m:t>
        </m:r>
        <m:d>
          <m:dPr/>
          <m:e>
            <m:sSub>
              <m:sSubPr/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t> − </m:t>
            </m:r>
            <m:sSub>
              <m:sSubPr/>
              <m:e>
                <m:r>
                  <m:t>R</m:t>
                </m:r>
              </m:e>
              <m:sub>
                <m:r>
                  <m:t>f</m:t>
                </m:r>
              </m:sub>
            </m:sSub>
          </m:e>
        </m:d>
        <m:r>
          <m:t>,  β = </m:t>
        </m:r>
        <m:f>
          <m:num>
            <m:func>
              <m:funcPr/>
              <m:fName>
                <m:r>
                  <m:t>cov</m:t>
                </m:r>
              </m:fName>
              <m:e>
                <m:d>
                  <m:dPr/>
                  <m:e>
                    <m:sSub>
                      <m:sSubPr/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, </m:t>
                    </m:r>
                    <m:sSub>
                      <m:sSubPr/>
                      <m:e>
                        <m:r>
                          <m:t>R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</m:e>
            </m:func>
          </m:num>
          <m:den>
            <m:sSubSup>
              <m:sSubSupPr/>
              <m:e>
                <m:r>
                  <m:t>σ</m:t>
                </m:r>
              </m:e>
              <m:sub>
                <m:r>
                  <m:t>m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Re — ожидаемая доходность актива; Rf — безрисковая ставка; Rm — доходность рыночного портфеля (индекса); β — бета-коэффициент, отражающий чувствительность доходности актива к колебаниям рынка. Экономический смысл слагаемого β(Rm − Rf) состоит в рыночной премии за риск — компенсации, которую инвестор требует за принятие систематического риска сверх безрисковой ставки [2]. Модель опирается на ряд предпосылок: рациональность и однородность ожиданий инвесторов, отсутствие транзакционных издержек и налогов, возможность неограниченного кредитования и заимствования по безрисковой ставке, достаточность единственного систематического фактора и измерение риска дисперсией доходности [3, 4].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Эмпирическая проверка этих предпосылок с 1970-х годов выявила их системные нарушения: бета-коэффициент, оцениваемый по ретроспективным данным, не является устойчивым во времени [5, 6]; однофакторная спецификация не объясняет наблюдаемые аномалии доходности, связанные с размером компании и соотношением балансовой и рыночной стоимости [7]; тестируемость самой модели ограничена ненаблюдаемостью истинного рыночного портфеля [8]. Отдельная линия критики связана с симметричностью меры риска: ещё А. Рой [9], предложивший принцип «safety first», показал, что инвесторы оценивают не общую волатильность, а прежде всего риск снижения доходности ниже приемлемого уровня.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Развитие этой идеи привело к построению модели DCAPM. У. Хоган и Дж. Уоррен [10] предложили определять бета-коэффициент через полудисперсию, В. Харлоу и Р. Роу [11] — через ковариацию отклонений доходности актива и рынка ниже их средних значений, а Х. Эстрада [12, 13] завершил построение модифицированного бета-коэффициента и показал на выборке развивающихся рынков, что модель, учитывающая только риск снижения доходности, обладает более высокой объяснительной силой, чем классическая CAPM, — именно в силу повышенной волатильности и асимметрии доходностей, характерных для таких рынков.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Альтернативное направление модификации связано не с переопределением риска, а с расширением числа систематических факторов. Ю. Фама и К. Френч [7, 14] показали, что доходность акций последовательно связана также с размером компании (фактор SMB) и соотношением балансовой и рыночной стоимости (фактор HML), и предложили трёхфакторную модель. Поскольку факторы SMB и HML были первоначально рассчитаны для рынка США, для применения модели на развивающихся рынках используются соответствующие региональные факторы (в частности, факторы для развивающихся рынков из базы данных К. Френча).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Таким образом, DCAPM и модель Фама–Френча устраняют разные ограничения классической CAPM — асимметрию риска и недостаточность единственного фактора соответственно — и являются не конкурирующими, а взаимодополняющими направлениями её развития. Это делает содержательным их прямое эмпирическое сопоставление на данных одного рынка: такое сравнение показывает не то, какая модель теоретически «более полна», а то, какой источник отклонения от CAPM — асимметрия риска или пропущенные факторы — эмпирически более значим для конкретного рынка. Для российского рынка, тестировавшегося преимущественно по отдельности для каждой модели (см. также недавние работы Н. А. Манушкина [15], М. И. Черновой и Т. Р. Ахметзянова [16] и Н. Хана [17]), подобное прямое сопоставление на едином массиве данных ранее не проводилось.</w:t>
      </w:r>
    </w:p>
    <w:p>
      <w:pPr>
        <w:spacing w:after="10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Методика исследования</w:t>
      </w:r>
    </w:p>
    <w:p>
      <w:pPr>
        <w:spacing w:after="80" w:before="14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Данные и выборка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выборку включены обыкновенные акции десяти крупных российских компаний, торгующихся на Московской бирже и представляющих ключевые секторы экономики: ПАО «Яндекс» (YDEX), «Русал» (RUAL), ПАО «Аэрофлот» (AFLT), ПАО Сбербанк (SBER), ПАО «КАМАЗ» (KMAZ), Банк ВТБ (ПАО) (VTBR), ПАО «Артген» (ABIO), ПАО «ЛУКОЙЛ» (LKOH), ПАО «Газпром» (GAZP) и ПАО «НОВАТЭК» (NVTK). Единица наблюдения — месячная доходность акции. Период наблюдения — с 1 марта 2021 г. по 1 января 2025 г., что охватывает как относительно стабильную часть рынка, так и период резкого санкционного шока 2022 г. и последующей адаптации к нему. В качестве рыночного бенчмарка использован индекс RTSI (индекс РТС Московской биржи, номинированный в долларах США) — старейший и наиболее широко используемый индикатор состояния российского рынка акций в целом.</w:t>
      </w:r>
    </w:p>
    <w:p>
      <w:pPr>
        <w:spacing w:after="80" w:before="14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Спецификации моделей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Ожидаемая доходность по классической модели CAPM рассчитывается относительно индекса RTSI:</w:t>
      </w:r>
    </w:p>
    <w:p>
      <w:pPr>
        <w:tabs>
          <w:tab w:val="right" w:pos="7937"/>
        </w:tabs>
        <w:spacing w:after="100" w:before="100" w:line="240"/>
        <w:jc w:val="left"/>
      </w:pPr>
      <m:oMath>
        <m:sSub>
          <m:sSubPr/>
          <m:e>
            <m:r>
              <m:t>R</m:t>
            </m:r>
          </m:e>
          <m:sub>
            <m:r>
              <m:t>e</m:t>
            </m:r>
          </m:sub>
        </m:sSub>
        <m:r>
          <m:t> = </m:t>
        </m:r>
        <m:sSub>
          <m:sSubPr/>
          <m:e>
            <m:r>
              <m:t>R</m:t>
            </m:r>
          </m:e>
          <m:sub>
            <m:r>
              <m:t>f</m:t>
            </m:r>
          </m:sub>
        </m:sSub>
        <m:r>
          <m:t> + β·</m:t>
        </m:r>
        <m:d>
          <m:dPr/>
          <m:e>
            <m:sSub>
              <m:sSubPr/>
              <m:e>
                <m:r>
                  <m:t>R</m:t>
                </m:r>
              </m:e>
              <m:sub>
                <m:r>
                  <m:t>RTSI</m:t>
                </m:r>
              </m:sub>
            </m:sSub>
            <m:r>
              <m:t> − </m:t>
            </m:r>
            <m:sSub>
              <m:sSubPr/>
              <m:e>
                <m:r>
                  <m:t>R</m:t>
                </m:r>
              </m:e>
              <m:sub>
                <m:r>
                  <m:t>f</m:t>
                </m:r>
              </m:sub>
            </m:sSub>
          </m:e>
        </m:d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(1)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Модель DCAPM сохраняет форму уравнения (1), но заменяет классический бета-коэффициент модифицированным коэффициентом βᵢ, учитывающим только совместные отклонения доходности актива и рынка ниже их средних значений (μi и μRTSI):</w:t>
      </w:r>
    </w:p>
    <w:p>
      <w:pPr>
        <w:tabs>
          <w:tab w:val="right" w:pos="7937"/>
        </w:tabs>
        <w:spacing w:after="100" w:before="100" w:line="240"/>
        <w:jc w:val="left"/>
      </w:pPr>
      <m:oMath>
        <m:sSub>
          <m:sSubPr/>
          <m:e>
            <m:r>
              <m:t>β</m:t>
            </m:r>
          </m:e>
          <m:sub>
            <m:r>
              <m:t>i</m:t>
            </m:r>
          </m:sub>
        </m:sSub>
        <m:r>
          <m:t> = </m:t>
        </m:r>
        <m:f>
          <m:num>
            <m:func>
              <m:funcPr/>
              <m:fName>
                <m:r>
                  <m:t>cov</m:t>
                </m:r>
              </m:fName>
              <m:e>
                <m:d>
                  <m:dPr>
                    <m:begChr m:val="["/>
                    <m:endChr m:val="]"/>
                  </m:dPr>
                  <m:e>
                    <m:func>
                      <m:funcPr/>
                      <m:fName>
                        <m:r>
                          <m:t>min</m:t>
                        </m:r>
                      </m:fName>
                      <m:e>
                        <m:d>
                          <m:dPr/>
                          <m:e>
                            <m:sSub>
                              <m:sSubPr/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 − </m:t>
                            </m:r>
                            <m:sSub>
                              <m:sSubPr/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, 0</m:t>
                            </m:r>
                          </m:e>
                        </m:d>
                      </m:e>
                    </m:func>
                    <m:r>
                      <m:t>·</m:t>
                    </m:r>
                    <m:func>
                      <m:funcPr/>
                      <m:fName>
                        <m:r>
                          <m:t>min</m:t>
                        </m:r>
                      </m:fName>
                      <m:e>
                        <m:d>
                          <m:dPr/>
                          <m:e>
                            <m:sSub>
                              <m:sSubPr/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RTSI</m:t>
                                </m:r>
                              </m:sub>
                            </m:sSub>
                            <m:r>
                              <m:t> − </m:t>
                            </m:r>
                            <m:sSub>
                              <m:sSubPr/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RTSI</m:t>
                                </m:r>
                              </m:sub>
                            </m:sSub>
                            <m:r>
                              <m:t>, 0</m:t>
                            </m:r>
                          </m:e>
                        </m:d>
                      </m:e>
                    </m:func>
                  </m:e>
                </m:d>
              </m:e>
            </m:func>
          </m:num>
          <m:den>
            <m:func>
              <m:funcPr/>
              <m:fName>
                <m:r>
                  <m:t>var</m:t>
                </m:r>
              </m:fName>
              <m:e>
                <m:d>
                  <m:dPr>
                    <m:begChr m:val="["/>
                    <m:endChr m:val="]"/>
                  </m:dPr>
                  <m:e>
                    <m:func>
                      <m:funcPr/>
                      <m:fName>
                        <m:r>
                          <m:t>min</m:t>
                        </m:r>
                      </m:fName>
                      <m:e>
                        <m:d>
                          <m:dPr/>
                          <m:e>
                            <m:sSub>
                              <m:sSubPr/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RTSI</m:t>
                                </m:r>
                              </m:sub>
                            </m:sSub>
                            <m:r>
                              <m:t> − </m:t>
                            </m:r>
                            <m:sSub>
                              <m:sSubPr/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RTSI</m:t>
                                </m:r>
                              </m:sub>
                            </m:sSub>
                            <m:r>
                              <m:t>, 0</m:t>
                            </m:r>
                          </m:e>
                        </m:d>
                      </m:e>
                    </m:func>
                  </m:e>
                </m:d>
              </m:e>
            </m:func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(2)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Трёхфакторная модель Фама–Френча, адаптированная для развивающихся рынков, дополняет рыночный фактор факторами размера и стоимости, рассчитанными для группы развивающихся рынков (EM):</w:t>
      </w:r>
    </w:p>
    <w:p>
      <w:pPr>
        <w:tabs>
          <w:tab w:val="right" w:pos="7937"/>
        </w:tabs>
        <w:spacing w:after="100" w:before="100" w:line="240"/>
        <w:jc w:val="left"/>
      </w:pPr>
      <m:oMath>
        <m:sSub>
          <m:sSubPr/>
          <m:e>
            <m:r>
              <m:t>R</m:t>
            </m:r>
          </m:e>
          <m:sub>
            <m:r>
              <m:t>e</m:t>
            </m:r>
          </m:sub>
        </m:sSub>
        <m:r>
          <m:t> = </m:t>
        </m:r>
        <m:sSub>
          <m:sSubPr/>
          <m:e>
            <m:r>
              <m:t>R</m:t>
            </m:r>
          </m:e>
          <m:sub>
            <m:r>
              <m:t>f</m:t>
            </m:r>
          </m:sub>
        </m:sSub>
        <m:r>
          <m:t> + </m:t>
        </m:r>
        <m:sSub>
          <m:sSubPr/>
          <m:e>
            <m:r>
              <m:t>β</m:t>
            </m:r>
          </m:e>
          <m:sub>
            <m:r>
              <m:t>m,EM</m:t>
            </m:r>
          </m:sub>
        </m:sSub>
        <m:r>
          <m:t>·</m:t>
        </m:r>
        <m:d>
          <m:dPr/>
          <m:e>
            <m:sSub>
              <m:sSubPr/>
              <m:e>
                <m:r>
                  <m:t>R</m:t>
                </m:r>
              </m:e>
              <m:sub>
                <m:r>
                  <m:t>m,EM</m:t>
                </m:r>
              </m:sub>
            </m:sSub>
            <m:r>
              <m:t> − </m:t>
            </m:r>
            <m:sSub>
              <m:sSubPr/>
              <m:e>
                <m:r>
                  <m:t>R</m:t>
                </m:r>
              </m:e>
              <m:sub>
                <m:r>
                  <m:t>f</m:t>
                </m:r>
              </m:sub>
            </m:sSub>
          </m:e>
        </m:d>
        <m:r>
          <m:t> + </m:t>
        </m:r>
        <m:sSub>
          <m:sSubPr/>
          <m:e>
            <m:r>
              <m:t>β</m:t>
            </m:r>
          </m:e>
          <m:sub>
            <m:r>
              <m:t>SMB,EM</m:t>
            </m:r>
          </m:sub>
        </m:sSub>
        <m:r>
          <m:t>·</m:t>
        </m:r>
        <m:sSub>
          <m:sSubPr/>
          <m:e>
            <m:r>
              <m:t>SMB</m:t>
            </m:r>
          </m:e>
          <m:sub>
            <m:r>
              <m:t>EM</m:t>
            </m:r>
          </m:sub>
        </m:sSub>
        <m:r>
          <m:t> + </m:t>
        </m:r>
        <m:sSub>
          <m:sSubPr/>
          <m:e>
            <m:r>
              <m:t>β</m:t>
            </m:r>
          </m:e>
          <m:sub>
            <m:r>
              <m:t>HML,EM</m:t>
            </m:r>
          </m:sub>
        </m:sSub>
        <m:r>
          <m:t>·</m:t>
        </m:r>
        <m:sSub>
          <m:sSubPr/>
          <m:e>
            <m:r>
              <m:t>HML</m:t>
            </m:r>
          </m:e>
          <m:sub>
            <m:r>
              <m:t>EM</m:t>
            </m:r>
          </m:sub>
        </m:sSub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(3)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Во всех трёх моделях Rf — безрисковая ставка, приведённая к частоте наблюдений; расчёт выполнен по единой выборке и единому периоду наблюдения, что обеспечивает сопоставимость результатов между моделями.</w:t>
      </w:r>
    </w:p>
    <w:p>
      <w:pPr>
        <w:spacing w:after="80" w:before="14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Критерии оценки точности прогнозирования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Точность каждой модели оценивается путём сопоставления ожидаемой (расчётной) доходности Rt с фактически полученной доходностью Rr за тот же период по двум показателям. Во-первых, процентное отклонение по каждой акции:</w:t>
      </w:r>
    </w:p>
    <w:p>
      <w:pPr>
        <w:tabs>
          <w:tab w:val="right" w:pos="7937"/>
        </w:tabs>
        <w:spacing w:after="100" w:before="10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Deviation = </w:t>
      </w:r>
      <m:oMath>
        <m:r>
          <m:t>|</m:t>
        </m:r>
        <m:sSub>
          <m:sSubPr/>
          <m:e>
            <m:r>
              <m:t>R</m:t>
            </m:r>
          </m:e>
          <m:sub>
            <m:r>
              <m:t>t</m:t>
            </m:r>
          </m:sub>
        </m:sSub>
        <m:r>
          <m:t> − </m:t>
        </m:r>
        <m:sSub>
          <m:sSubPr/>
          <m:e>
            <m:r>
              <m:t>R</m:t>
            </m:r>
          </m:e>
          <m:sub>
            <m:r>
              <m:t>r</m:t>
            </m:r>
          </m:sub>
        </m:sSub>
        <m:r>
          <m:t>| / </m:t>
        </m:r>
        <m:sSub>
          <m:sSubPr/>
          <m:e>
            <m:r>
              <m:t>R</m:t>
            </m:r>
          </m:e>
          <m:sub>
            <m:r>
              <m:t>r</m:t>
            </m:r>
          </m:sub>
        </m:sSub>
        <m:r>
          <m:t> × 100%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(4)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Во-вторых, среднее абсолютное отклонение (MAD) — усреднённый по всем десяти акциям показатель точности каждой модели, позволяющий ранжировать модели между собой: чем ниже значение MAD, тем точнее модель воспроизводит фактически наблюдаемую доходность. Использованный подход к сопоставлению прогнозных и фактических значений методологически соотносится с практикой оценки эффективности управления инвестиционными портфелями [18]. Обобщённая архитектура сопоставления моделей приведена в табл. 1.</w:t>
      </w:r>
    </w:p>
    <w:p>
      <w:pPr>
        <w:spacing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line="240"/>
        <w:jc w:val="right"/>
      </w:pPr>
      <w:r>
        <w:rPr>
          <w:rFonts w:ascii="Arial" w:cs="Arial" w:eastAsia="Arial" w:hAnsi="Arial"/>
          <w:sz w:val="22"/>
          <w:szCs w:val="22"/>
        </w:rPr>
        <w:t xml:space="preserve">Таблица 1. Архитектура сопоставления моделей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238"/>
        <w:gridCol w:w="1800"/>
      </w:tblGrid>
      <w:tr>
        <w:trPr>
          <w:tblHeader/>
        </w:trPr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Экономический смысл</w:t>
            </w:r>
          </w:p>
        </w:tc>
        <w:tc>
          <w:tcPr>
            <w:tcW w:type="dxa" w:w="3238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Операционализация</w:t>
            </w:r>
          </w:p>
        </w:tc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Роль в сопоставлении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CAPM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Систематический (рыночный) риск, симметричная дисперсия доходности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β = cov(Ri,Rm)/σ²m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Базовая (эталонная) модель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DCAPM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Асимметричный риск снижения доходности (полудисперсия)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βᵢ = cov[min(Ri−μi,0)·min(Rm−μm,0)] / var[min(Rm−μm,0)]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Модификация 1 — учёт асимметрии риска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Фама–Френч (EM)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Рыночный риск + размер компании (SMB) + стоимость (HML)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Re=Rf+βm(Rm−Rf)+βSMB·SMB+βHML·HML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Модификация 2 — учёт дополнительных факторов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Критерии точности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расчётной доходности фактической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Deviation = |Rt−Rr|/Rr×100%; MAD по 10 акциям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Сопоставление и ранжирование моделей</w:t>
            </w:r>
          </w:p>
        </w:tc>
      </w:tr>
    </w:tbl>
    <w:p>
      <w:pPr>
        <w:spacing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0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Результаты апробации на российском рынке</w:t>
      </w:r>
    </w:p>
    <w:p>
      <w:pPr>
        <w:spacing w:after="80" w:before="14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Оценка риска и ожидаемой доходности по моделям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Расчёт бета-коэффициентов по формулам (1)–(3) выявил принципиальное различие в ранжировании компаний по риску между моделями. Для классической CAPM максимальные значения беты зафиксированы для AFLT (0,74) и ABIO (0,71), минимальные — для VTBR (0,04) и SBER (0,06); для DCAPM ранжирование иное: наиболее чувствительны к нисходящим движениям рынка YDEX (0,32) и LKOH (0,32), тогда как RUAL, KMAZ, SBER, ABIO и NVTK демонстрируют модифицированную бету ниже 0,06. Это расхождение показательно само по себе: оценка риска, основанная на общей волатильности, и оценка, основанная на риске снижения доходности, дают разные представления об относительной рискованности одних и тех же активов, что закономерно отражается на прогнозных значениях доходности и на итоговой точности моделей (табл. 1).</w:t>
      </w:r>
    </w:p>
    <w:p>
      <w:pPr>
        <w:spacing w:after="80" w:before="14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Сопоставление прогнозной и фактической доходности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Сопоставление расчётной доходности с фактически полученной по каждой из десяти акций показывает систематическое смещение классической модели CAPM в сторону занижения доходности: расчётные значения оказались ниже фактических для девяти акций из десяти, при этом наибольший разрыв зафиксирован для GAZP (5,64% против 21,32% фактических) и NVTK (5,53% против 18,78%) — компаний-экспортёров, доходность которых в рассматриваемый период определялась в том числе динамикой сырьевых цен и последствиями внешних ограничений, не улавливаемыми единственным рыночным фактором модели. Модель DCAPM воспроизводит фактическую доходность заметно точнее: для пяти из десяти акций (RUAL, SBER, AFLT, GAZP, NVTK) отклонение не превышает 15%, а для RUAL, YDEX, VTBR и KMAZ расчётные значения отличаются от фактических менее чем на 6 п.п. Модель Фама–Френча показывает промежуточный результат: точность выше, чем у классической CAPM, за счёт учёта факторов размера и стоимости, но ниже, чем у DCAPM, — в частности, для LKOH и ABIO модель, напротив, заметно завышает ожидаемую доходность относительно фактической.</w:t>
      </w:r>
    </w:p>
    <w:p>
      <w:pPr>
        <w:spacing w:after="80" w:before="14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Сравнение точности моделей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Результаты сопоставления точности моделей по всем десяти акциям обобщены в табл. 2.</w:t>
      </w:r>
    </w:p>
    <w:p>
      <w:pPr>
        <w:spacing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line="240"/>
        <w:jc w:val="right"/>
      </w:pPr>
      <w:r>
        <w:rPr>
          <w:rFonts w:ascii="Arial" w:cs="Arial" w:eastAsia="Arial" w:hAnsi="Arial"/>
          <w:sz w:val="22"/>
          <w:szCs w:val="22"/>
        </w:rPr>
        <w:t xml:space="preserve">Таблица 2. Отклонение прогнозной доходности от фактической по моделям, %</w:t>
      </w:r>
    </w:p>
    <w:tbl>
      <w:tblPr>
        <w:tblW w:type="dxa" w:w="5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50"/>
        <w:gridCol w:w="1550"/>
        <w:gridCol w:w="155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Тикер</w:t>
            </w:r>
          </w:p>
        </w:tc>
        <w:tc>
          <w:tcPr>
            <w:tcW w:type="dxa" w:w="15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CAPM</w:t>
            </w:r>
          </w:p>
        </w:tc>
        <w:tc>
          <w:tcPr>
            <w:tcW w:type="dxa" w:w="15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DCAPM</w:t>
            </w:r>
          </w:p>
        </w:tc>
        <w:tc>
          <w:tcPr>
            <w:tcW w:type="dxa" w:w="15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Фама–Френч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YDEX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63,12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9,17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23,88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RUAL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38,21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1,43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22,75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AFLT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47,28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14,37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35,74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SBER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3,20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3,28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6,75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KMAZ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50,14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5,84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12,81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VTBR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8,82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6,13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9,10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ABIO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36,39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60,85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42,66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LKOH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3,80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27,30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50,01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GAZP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73,54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31,48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44,63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NVTK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70,55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14,30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33,90</w:t>
            </w:r>
          </w:p>
        </w:tc>
      </w:tr>
      <w:tr>
        <w:tc>
          <w:tcPr>
            <w:tcW w:type="dxa" w:w="1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MAD</w:t>
            </w:r>
          </w:p>
        </w:tc>
        <w:tc>
          <w:tcPr>
            <w:tcW w:type="dxa" w:w="15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5,23</w:t>
            </w:r>
          </w:p>
        </w:tc>
        <w:tc>
          <w:tcPr>
            <w:tcW w:type="dxa" w:w="15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1,92</w:t>
            </w:r>
          </w:p>
        </w:tc>
        <w:tc>
          <w:tcPr>
            <w:tcW w:type="dxa" w:w="15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3,27</w:t>
            </w:r>
          </w:p>
        </w:tc>
      </w:tr>
    </w:tbl>
    <w:p>
      <w:pPr>
        <w:spacing w:after="160" w:before="80" w:line="2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Примечание: Deviation рассчитан по формуле (4); MAD — среднее абсолютное отклонение по выборке из 10 акций (чем ниже значение, тем точнее модель).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Итоговое ранжирование моделей по среднему абсолютному отклонению (MAD) (табл. 2) свидетельствует, что модель DCAPM обеспечивает наиболее точный прогноз доходности на рассматриваемой выборке (MAD = 1,92%), опережая трёхфакторную модель Фама–Френча (MAD = 3,27%) и существенно превосходя классическую CAPM (MAD = 5,23%). Такое ранжирование согласуется с теоретическим объяснением: асимметрия доходностей и повышенная волатильность, характерные для российского рынка в рассматриваемый период, лучше улавливаются мерой риска, основанной на полудисперсии, чем симметричной дисперсией или дополнительными, но по-прежнему симметричными факторами размера и стоимости. Показательно, что наибольшие отклонения всех трёх моделей приходятся на одни и те же бумаги — GAZP и NVTK, — что указывает на наличие специфического для этих компаний источника доходности, вероятно связанного с динамикой сырьевых рынков и адресными внешними ограничениями и не объясняемого ни рыночным бета-фактором, ни факторами размера и стоимости в их текущей операционализации.</w:t>
      </w:r>
    </w:p>
    <w:p>
      <w:pPr>
        <w:spacing w:after="10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работе выполнено прямое сопоставление прогностической точности классической модели CAPM и двух её модификаций — DCAPM и трёхфакторной модели Фама–Френча, адаптированной для развивающихся рынков, — на едином массиве данных о доходности десяти крупных российских компаний за период с марта 2021 по январь 2025 г. и по единому критерию точности.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Апробация показала, что модель DCAPM, определяющая риск через полудисперсию доходности ниже среднего уровня, обеспечивает наиболее точное соответствие расчётной и фактической доходности (среднее абсолютное отклонение 1,92% против 3,27% у модели Фама–Френча и 5,23% у классической CAPM), которая, в свою очередь, систематически занижает доходность, особенно для акций сырьевых экспортёров. Научный вклад работы состоит в получении сопоставимой эмпирической оценки трёх моделей на общей выборке и по общему критерию, что ранее для российского рынка представлено не было, и в содержательном объяснении полученного ранжирования через структурные особенности рынка — повышенную волатильность и асимметрию доходностей, усиленные внешними ограничениями для отдельных эмитентов.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Полученные результаты имеют практическое значение для оценки стоимости капитала и ожидаемой доходности на российском рынке, указывая на предпочтительность спецификаций, учитывающих асимметрию риска, перед классической CAPM. Вместе с тем результаты ограничены небольшим размером выборки (десять компаний, представляющих преимущественно крупную капитализацию), использованием единственного рыночного бенчмарка и единственного, структурно неоднородного окна наблюдения, включающего как период до шока 2022 г., так и последующую адаптацию к нему, а также отсутствием формальных статистических тестов согласия моделей (в частности, теста Гиббонса–Росса–Шанкена, применённого для российского рынка в работе Н. А. Манушкина [15]): используемые показатели отклонения и MAD носят описательный, а не статистически-выводной характер.</w:t>
      </w:r>
    </w:p>
    <w:p>
      <w:pPr>
        <w:spacing w:after="0" w:line="2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Дальнейшие исследования должны быть направлены на расширение выборки за счёт компаний разной капитализации и отраслевой принадлежности, применение скользящих окон оценивания и вневыборочной проверки прогнозов, построение факторов SMB и HML непосредственно по российским данным вместо агрегированных факторов для развивающихся рынков, а также на формальную статистическую проверку различий в точности моделей. Отдельного внимания требует устойчивость выявленного ранжирования по мере накопления данных за пределами рассмотренного периода: поскольку адаптация российских компаний к изменившимся внешним условиям носит продолжающийся характер, оценка на более длительном последующем периоде наблюдения позволит проверить, является ли преимущество DCAPM устойчивой характеристикой российского рынка или отражает особенности именно рассмотренного периода.</w:t>
      </w:r>
    </w:p>
    <w:p>
      <w:pPr>
        <w:spacing w:after="10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Markowitz H.M. Portfolio Selection // The Journal of Finance. – 1952. – V. 7. – № 3. – Р. 77–91.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Берзон Н.И., Володин С.Н. Оценка финансовых активов по критерию «риск – доходность» с учётом длительности инвестирования // Экономический журнал ВШЭ. – 2010. – № 3.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Шарп У.Ф., Александер Г.Дж., Бэйли Дж.В. Инвестиции: пер. с англ. – М.: ИНФРА-М, 1997. – 1024 с.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Аскинадзи В.М., Максимова В.Ф. Инвестиции: учебник для вузов. – 3-е изд. – М.: Юрайт, 2024. – 386 с.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Levy R.A. On the Short-Term Stationarity of Beta Coefficient // Financial Analysts Journal. – 1971. – V. 27. – № 6. – Р. 55–62.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Blume M.E. Betas and their regression tendencies // The Journal of Finance. – 1975. – V. 30. – № 3. – Р. 785–795.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Fama E.F., French K.R. Common risk factors in the returns on stocks and bonds // Journal of Financial Economics. – 1993. – V. 33. – Р. 3–56.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Roll R. A Critique of the Asset Pricing Theory's Tests. Part I: On Past and Potential Testability of the Theory // Journal of Financial Economics. – 1977. – V. 4. – № 2. – Р. 129–176.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Roy A.D. Safety First and the Holding of Assets // Econometrica. – 1952. – V. 20. – № 3. – Р. 431–449.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Hogan W.W., Warren J.M. Toward the Development of an Equilibrium Capital-Market Model Based on Semivariance // The Journal of Financial and Quantitative Analysis. – 1974. – V. 9. – № 1. – Р. 1–11.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Harlow W.V., Rao R.K. Asset Pricing in a Generalized Mean-Lower Partial Moment Framework: Theory and Evidence // The Journal of Financial and Quantitative Analysis. – 1989. – V. 24. – № 3. – Р. 285–311.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Estrada J. Systematic risk in emerging markets: the D-CAPM // Emerging Markets Review. – 2002. – V. 3. – Р. 365–379.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Estrada J. Mean-semivariance behavior: Downside risk and capital asset pricing // International Review of Economics and Finance. – 2007. – V. 16. – № 2. – Р. 169–185.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Fama E.F., French K.R. The Capital Asset Pricing Model: Theory and Evidence // Journal of Economic Perspectives. – 2003. – V. 18. – № 3. – Р. 25–46.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Manushkin N.A. Application of Fama-French Five Factor Model on the Russian Market: WP BRP 95/FE/2024. – Moscow: National Research University Higher School of Economics, 2024.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Chernova M., Akhmetzyanov T. Evolution of Factor Pricing Models and Their Application in the Russian Financial Market // Journal of Corporate Finance Research (Корпоративные финансы). – 2025. – V. 19. – № 2.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Khan N. Evaluating the resilience of asset pricing models during crises: evidence from Russia's economic recession, COVID-19 pandemic, and the Russia–Ukraine war // SN Business &amp; Economics. – 2026. – V. 6. – Art. 185.</w:t>
      </w:r>
    </w:p>
    <w:p>
      <w:pPr>
        <w:pStyle w:val="ListParagraph"/>
        <w:numPr>
          <w:ilvl w:val="0"/>
          <w:numId w:val="2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Абрамов А.Е., Радыгин А.Д., Чернова М.И. Эффективность управления портфелями паевых инвестиционных фондов акций и её оценка // Экономическая политика. – 2019. – № 4.</w:t>
      </w:r>
    </w:p>
    <w:sectPr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2026-09-06T11:27:31.666Z</dcterms:created>
  <dcterms:modified xsi:type="dcterms:W3CDTF">2026-09-06T11:27:31.666Z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