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6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ГЛАВА 1. ТЕОРЕТИЧЕСКИЕ ОСНОВЫ И СТЕПЕНЬ РАЗРАБОТАННОСТИ ПРОБЛЕМЫ ОЦЕНКИ ВЛИЯНИЯ САНКЦИОННЫХ ШОКОВ НА ТРАНСФОРМАЦИЮ БИЗНЕС-МОДЕЛИ КОМПАНИЙ IT-ОТРАСЛИ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Название настоящей диссертации начинается со слова «разработка», и данное обстоятельство определяет характер научного результата, отличный от результата обычного эмпирического исследования. Предметом научного вклада является не констатация факта и величины влияния санкций на бизнес-модели компаний, а создание научно обоснованной, формализованной и воспроизводимой методики эконометрической оценки такого влияния. Различие между этими двумя типами результата не терминологическое, а определяющее логику всей работы: обычное эмпирическое исследование отвечало бы на вопрос о том, как санкции повлияли на бизнес-модели российских IT-компаний, тогда как настоящее исследование отвечает на вопрос о том, каким образом должна быть устроена воспроизводимая эконометрическая методика, позволяющая количественно оценивать влияние санкционных шоков на трансформацию бизнес-модели компаний IT-отрасли с учётом неоднородности санкционной экспозиции отдельных фирм и с обеспечением причинной, а не только ассоциативной идентификации эффекта. Первый вопрос является эмпирической задачей, решение которой используется в настоящей работе для апробации разработанной методики; второй вопрос является основным исследовательским вопросом диссертации в целом.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исследования является разработка научно обоснованной и воспроизводимой методики эконометрической оценки влияния санкционных шоков на трансформацию бизнес-модели компаний IT-отрасли, обеспечивающей количественную операционализацию санкционной экспозиции компании и трансформации её бизнес-модели, причинную идентификацию эффекта санкционного воздействия и проверку устойчивости получаемых результатов к альтернативным спецификациям.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исследования выступают процессы трансформации бизнес-моделей компаний российской IT-отрасли, происходящие под влиянием санкционных ограничений, введённых иностранными государствами и их объединениями в отношении Российской Федерации. Предметом исследования является не сама методика как таковая, а экономическая взаимосвязь, для измерения и причинной оценки которой данная методика разрабатывается: зависимость между интенсивностью санкционной экспозиции отдельной компании и масштабом наблюдаемой трансформации её бизнес-модели, а также совокупность экономико-статистических конструкций, эконометрических моделей и процедур идентификации, посредством которых данная зависимость может быть измерена и статистически проверена. Объект и предмет находятся, таким образом, в отношении явления и его операционализируемого механизма: объект задаёт эмпирическое поле исследования, тогда как предмет — тот аналитический разрез этого поля и тот измерительно-идентификационный аппарат, разработка которого образует научный результат диссертации.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Достижение поставленной цели предполагает последовательное решение следующих задач: во-первых, исследовать теоретические подходы к пониманию санкционного воздействия на компании и установить, в какой мере они пригодны для оценки трансформации бизнес-модели отдельной фирмы; во-вторых, систематизировать теоретические подходы к адаптации компаний к внешним шокам и определить теоретическую рамку, объясняющую переход от внешнего воздействия к структурному изменению бизнес-модели; в-третьих, критически проанализировать подходы к пониманию и операционализации бизнес-модели как объекта количественного измерения; в-четвёртых, обосновать специфику IT-отрасли как объекта исследования санкционной трансформации бизнес-моделей; в-пятых, систематизировать существующий методический инструментарий измерения санкционного воздействия и трансформации бизнес-моделей и выявить его ограничения применительно к поставленной задаче; в-шестых, сформулировать научную проблему, исследовательский пробел и требования, которым должна соответствовать разрабатываемая методика; в-седьмых, разработать систему показателей санкционной экспозиции компании и трансформации её бизнес-модели; в-восьмых, сформировать эконометрическую модель оценки эффекта и процедуру причинной идентификации с проверкой устойчивости результатов; в-девятых, разработать алгоритм практического применения методики; в-десятых, провести апробацию разработанной методики на панельных данных российских IT-компаний. Первые шесть задач решаются в границах настоящей главы; седьмая — девятая задачи решаются в третьей главе диссертации; десятая задача — в четвёртой, эмпирической главе.</w:t>
      </w:r>
    </w:p>
    <w:p>
      <w:pPr>
        <w:pStyle w:val="Heading2"/>
        <w:spacing w:after="20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1.1. Теоретические подходы к исследованию санкционных шоков и их воздействия на компании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Первым шагом на пути к обоснованию необходимости разработки специальной методики выступает последовательная проверка того, в какой мере уже существующий в экономической науке инструментарий анализа санкционного воздействия пригоден для решения задачи, поставленной в настоящем исследовании, — измерения трансформации бизнес-модели отдельной компании. Подобная проверка требует рассмотрения не общего объёма литературы о санкциях, а последовательно трёх уровней анализа, различающихся единицей наблюдения: макроэкономического, отраслевого и фирменного.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макроэкономическом уровне санкции рассматриваются как фактор, воздействующий на агрегированные показатели страны-объекта. Хафбауэр, Шотт, Эллиотт и Оегг, проанализировавшие 204 санкционных эпизода начиная с 1914 г., установили, что экономические санкции достигают заявленных политических целей лишь в ограниченной доле случаев, и предложили типологию санкций по инструментальному признаку — торговые, финансовые, технологические ограничения (Hufbauer, Schott, Elliott, Oegg, 2007). Нойенкирх и Ноймайер, применив панельную регрессию с фиксированными эффектами к данным 167 стран за 1976–2012 гг., показали, что санкции ООН связаны со снижением темпов роста ВВП страны-объекта в среднем на 2,3–3,5 процентных пункта в год (Neuenkirch, Neumeier, 2015), а систематизация санкционных режимов в рамках Global Sanctions Data Base создала эмпирическую основу для количественного различения типов санкционного воздействия (Felbermayr, Kirilakha, Syropoulos, Yalcin, Yotov, 2020; Yalcin, Felbermayr, Kariem, Kirilakha, Kwon, Syropoulos, Yotov, 2025). Достаточен ли данный уровень анализа для оценки трансформации бизнес-модели отдельной компании? Не достаточен: единицей наблюдения в перечисленных работах выступает страна, а методология по своей архитектуре агрегирует реакцию всех экономических агентов внутри страны-объекта в единый показатель, что делает принципиально невозможным наблюдение неоднородности реакции отдельных фирм — именно той неоднородности, которая образует содержательный предмет настоящего исследования.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отраслевом уровне анализ смещается к дифференцированному воздействию санкций на отдельные секторы экономики в зависимости от характера применяемых ограничений. Исследование влияния экспортного контроля США на инновационную активность китайских компаний, включённых в санкционные списки, показало, что технологические ограничения способны не подавлять, а стимулировать рост внутренних расходов на исследования и разработки и патентную активность подсанкционных фирм (Lin, Zhang, Yang, Chen, 2025), что демонстрирует принципиальную неоднородность отраслевого эффекта в зависимости от типа санкционного ограничения. Достаточен ли отраслевой уровень анализа? Также не достаточен, хотя и по иной причине, чем макроуровень: отраслевые исследования способны зафиксировать различие в средней реакции секторов, но не предназначены для измерения многомерной структурной трансформации внутри отдельной фирмы — их зависимой переменной остаются агрегированные отраслевые показатели (инновационная активность, объём производства), а не конфигурация бизнес-модели.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фирменном уровне анализа, получившем интенсивное развитие применительно к санкционным режимам против России, единица наблюдения смещается непосредственно на компанию. Крозе и Хинц применили метод синтетического контроля к оценке торговых последствий санкций и контрсанкций 2014 г. (Crozet, Hinz, 2020); Ан и Людема показали неоднородность экономического эффекта санкций в зависимости от типа применённых к фирме ограничений (Ahn, Ludema, 2020); Беседеш, Гольдбах и Нитч установили, что финансовые санкции затрагивают через контрагентские связи даже нефинансовые фирмы (Besedeš, Goldbach, Nitsch, 2021). Применительно к режиму 2022 г. появился ряд работ, непосредственно анализирующих реакцию российских компаний: панельный анализ влияния зарубежных санкций на финансовую результативность российских фирм (Huynh, Hoang, Ongena, 2022); построение авторского индекса санкционного давления и оценка его влияния на финансовую результативность и кредитоспособность 58 российских нефинансовых компаний (Dobrynina, Grishunin, 2025); анализ влияния санкций на результативность российских фирм на более широкой выборке (Lee, Kumo, 2025); и описательная систематизация адаптационных стратегий российских компаний к санкциям 2022 г. — переориентации поставок, замещения технологий, изменения структуры собственности (Kuzyk, Simachev, 2023).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Достаточен ли фирменный уровень анализа санкций, как он представлен в перечисленных работах, для оценки трансформации бизнес-модели? Ответ на данный вопрос требует различения формы и содержания: по форме фирменный уровень анализа — с использованием панельных данных, эконометрических моделей причинной идентификации, построением авторских индексов санкционного давления — методологически близок к тому, что требуется настоящему исследованию, и в этом смысле образует наиболее релевантный методологический прецедент. Однако по содержанию зависимая переменная во всех рассмотренных работах представляет собой либо агрегированный финансовый показатель — выручку, рентабельность, кредитный рейтинг, — либо описательно фиксируемую адаптационную стратегию, не операционализированную в виде количественного, статистически оцениваемого индекса структурных изменений бизнес-модели. Иными словами, фирменный уровень анализа санкций демонстрирует методологическую пригодность своего эконометрического инструментария, но не даёт готового решения задачи измерения именно того объекта, к которому данный инструментарий необходимо применить, — трансформации бизнес-модели. Данное наблюдение образует первый содержательный элемент аргументации, ведущей к обоснованию необходимости разработки специальной методики: инструментарий причинной идентификации существует, но не соединён с адекватной операционализацией зависимой переменной.</w:t>
      </w:r>
    </w:p>
    <w:p>
      <w:pPr>
        <w:pStyle w:val="Heading2"/>
        <w:spacing w:after="20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1.2. Теоретические подходы к адаптации компаний к внешним шокам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Установленная в разделе 1.1 недостаточность литературы о санкциях для измерения трансформации бизнес-модели ставит следующий вопрос: какая теоретическая традиция способна объяснить, почему при воздействии одного и того же внешнего шока одни компании адаптируются быстрее других, почему масштаб и направление их внутренних изменений различаются, и, что наиболее существенно для задач настоящего исследования, каким образом происходит переход от общего понятия «адаптация» к конкретному, измеримому изменению структуры бизнес-модели. В экономической науке сложилось не менее пяти относительно самостоятельных теоретических традиций, предлагающих различающиеся ответы на данный вопрос.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Ресурсный подход объясняет неодинаковую реакцию фирм на внешний шок через различие их исходной ресурсной базы. Вернерфельт показал, что фирму можно анализировать со стороны совокупности принадлежащих ей ресурсов, а не только со стороны продуктовых рынков (Wernerfelt, 1984), а Барни сформулировал критерии, при которых ресурс образует источник устойчивого конкурентного преимущества, — ценность, редкость, невоспроизводимость, отсутствие эквивалентных субститутов (Barney, 1991). Данная традиция объясняет, почему компании с разной ресурсной базой различаются по устойчивости к шоку, но не объясняет процесс, посредством которого ресурсная база перестраивается в ответ на дискретное возмущение, — то есть отвечает на вопрос «почему разные фирмы устойчивы неодинаково», но не на вопрос «как именно происходит трансформация».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Теория динамических способностей прямо адресует данное ограничение. Тис, Пизано и Шуен определяют динамические способности как способность фирмы интегрировать, выстраивать и реконфигурировать внутренние и внешние компетенции в ответ на быстро меняющуюся среду (Teece, Pisano, Shuen, 1997), а последующая конкретизация теории раскрывает данную способность через три микрооснóвы — sensing (распознавание возможностей и угроз), seizing (их использование посредством реконфигурации ресурсов и бизнес-модели) и transforming (собственно трансформацию организационных активов) (Teece, 2007). Растущий массив количественных эмпирических работ подтверждает операционализируемость данной теории применительно к кризисным условиям: структурное моделирование связи динамических способностей и результативности 209 малых и средних предприятий в период COVID-19 показало положительное влияние динамических способностей на результативность как до, так и во время пандемического шока (Dejardin, Raposo, Ferreira, Fernandes, Veiga, Farinha, 2022), а анализ роли динамических способностей в инновации бизнес-модели туристических предприятий в кризисный период прямо связал механизм seizing с пересмотром логики создания ценности (Sahebalzamani, Jørgensen, Bertella, Nilsen, 2022).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Теория организационной резильентности смещает аналитический фокус с процесса реконфигурации на способность организации сохранять функциональность и восстанавливаться после разрушительного воздействия. Дучек концептуализирует резильентность как метаспособность, реализуемую в стадиях предвосхищения, преодоления и адаптации (Duchek, 2020). Теория стратегической гибкости объясняет различие в скорости адаптации через свойства самой ресурсной базы: Санчес показывает, что стратегическая гибкость есть функция гибкости используемых фирмой ресурсов и гибкости их координации (Sanchez, 1995). Теория абсорбционной способности объясняет способность фирмы осваивать новое внешнее знание через накопленный запас предшествующего знания, создающий зависимость от траектории развития (Cohen, Levinthal, 1990).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пять традиций отвечают на вопрос о том, почему компании реагируют на внешний шок неодинаково, и в этом смысле каждая по-своему объясняет наблюдаемую неоднородность реакции — центральный эмпирический факт, обосновывающий саму возможность эконометрического анализа (без вариации в зависимой переменной причинная оценка невозможна). Однако для целей настоящего исследования существен более узкий вопрос: какая из пяти теоретических конструкций позволяет перейти от общего понятия адаптации к измеримой трансформации именно бизнес-модели, а не к более широким категориям устойчивости, гибкости или способности к обучению? Ресурсный подход, теория резильентности, теория стратегической гибкости и теория абсорбционной способности данного перехода не совершают: они объясняют предпосылки, скорость или устойчивость адаптации, но не задают её содержательного результата в терминах структурных элементов бизнес-модели. Теория динамических способностей — единственная среди пяти традиций, в которой микрооснóва seizing определена именно как реконфигурация бизнес-модели, что делает её единственной теорией, обеспечивающей содержательный, а не только описательный переход от шока к измеримому объекту настоящего исследования.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Вместе с тем необходимо зафиксировать существенную оговорку, определяющую дальнейшую логику главы: сама по себе теория динамических способностей, при всей её объяснительной силе, не содержит готовой процедуры измерения — она задаёт теоретический механизм («seizing реализуется через реконфигурацию бизнес-модели»), но не отвечает на вопрос о том, как данную реконфигурацию зафиксировать количественно, статистически сопоставить между компаниями и причинно связать с интенсивностью внешнего шока. Переход от теоретического механизма к измерительной процедуре требует обращения к самостоятельному массиву литературы — исследованиям бизнес-модели как операционализируемого конструкта, — рассматриваемому в следующем разделе.</w:t>
      </w:r>
    </w:p>
    <w:p>
      <w:pPr>
        <w:pStyle w:val="Heading2"/>
        <w:spacing w:after="20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1.3. Бизнес-модель компании как объект экономического исследования и подходы к оценке её трансформации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Установленная в разделе 1.2 необходимость обращения к понятию бизнес-модели как содержательному результату механизма seizing требует, во-первых, критического определения самого конструкта и, во-вторых, — что для настоящего исследования более существенно — систематического анализа того, каким образом существующая литература измеряет его трансформацию. Второй вопрос рассмотрен здесь с не меньшей тщательностью, чем первый, поскольку именно в способе измерения, а не в теоретическом определении, обнаруживается наиболее значимый для настоящего исследования дефицит.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Понятие бизнес-модели не имеет единого общепринятого определения: систематический обзор 150 публикаций за 2000–2015 гг. констатирует устойчивую понятийную неоднородность поля при одновременном росте интереса к конструкту (Foss, Saebi, 2017). В литературе сложились по меньшей мере четыре относительно самостоятельных подхода. Остервальдер и Пинье трактуют бизнес-модель как логику создания, доставки и присвоения ценности, операционализированную через девять структурных блоков (Osterwalder, Pigneur, 2010). Зотт, Амит и Масса определяют бизнес-модель как систему взаимозависимых видов деятельности, выходящую за пределы фирмы (Zott, Amit, Massa, 2011), подчёркивая её системный характер. Касадесус-Масанель и Рикарт трактуют бизнес-модель как отражение реализованной, а не декларируемой стратегии (Casadesus-Masanell, Ricart, 2010), что задаёт требование к источнику данных — фактическому раскрытию, а не программным заявлениям. Тис связывает бизнес-модель с логикой ценностного предложения и структуры доходов и издержек, прямо увязывая способность к её пересмотру со способностью фирмы к динамической адаптации (Teece, 2010), что образует понятийный мост к теоретической рамке, обоснованной в разделе 1.2. Рабочее определение, синтезирующее данные акценты, принимается следующим: бизнес-модель компании есть логика создания, доставки и присвоения ценности, воплощённая в системе взаимозависимых структурных элементов, отражённая в отчётности компании и способная к реконфигурации под воздействием внешней среды. Финансовые показатели — выручка, прибыль, рентабельность — фиксируют результат данной логики, но не сам способ создания ценности: две компании со сходной финансовой динамикой способны иметь принципиально различные траектории структурной адаптации, что обосновывает требование к многомерной, а не одномерной операционализации трансформации.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Определив конструкт, необходимо перейти к вопросу, имеющему решающее значение для дальнейшей логики главы: как именно существующие исследования измеряют трансформацию бизнес-модели количественно? Систематическое рассмотрение показывает, что в литературе сложилось не менее семи различающихся подходов к измерению, ни один из которых не совпадает по строгости операционализации с эконометрическим инструментарием, применяемым к финансовым показателям во втором направлении литературы о санкциях (раздел 1.1).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Качественные кейс-исследования остаются наиболее распространённым способом фиксации трансформации бизнес-модели под воздействием дискретного внешнего шока: кросс-кейсовый анализ адаптации бизнес-моделей десяти испанских компаний креативных индустрий к пандемийному шоку 2020 г. зафиксировал различие траекторий трансформации в зависимости от исходной гибкости ресурсной конфигурации (Peñarroya-Farell, Miralles, 2022). Преимущество данного подхода — содержательная глубина и внимание к контексту отдельного кейса; ограничение — принципиальная невозможность статистического обобщения на панель компаний и, тем самым, непригодность для причинной идентификации эффекта, требующей вариации в достаточно большой выборке.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Канва бизнес-модели (Business Model Canvas) используется преимущественно как описательный, а не измерительный инструмент: девять структурных блоков, предложенных Остервальдером и Пинье (Osterwalder, Pigneur, 2010), задают удобную типологию для качественного описания элементов бизнес-модели, однако в исходном виде не содержат процедуры количественного измерения степени изменения каждого блока и способа агрегирования подобных изменений в единый показатель.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Композитные шкалы измерения инновации бизнес-модели образуют наиболее методологически развитый количественный подход: Клаусс разработал и валидировал трёхуровневую шкалу измерения инновации бизнес-модели на выборках из 126 и 232 фирм, продемонстрировав, что подобное измерение статистически связано с результативностью компании (Clauss, 2017). Данная работа доказывает принципиальную возможность строгой количественной операционализации трансформации бизнес-модели, однако её шкала построена на основе опросных данных менеджмента, а не на основе публичной отчётности, что делает её неприменимой к панельному анализу на основе вторичных данных, требуемому настоящим исследованием, и не связывает измеряемую инновацию с каким-либо специфическим внешним шоком.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Управленческие фреймворки резильентности бизнес-модели, в частности фреймворк, связывающий устойчивость бизнес-модели со структурой её элементов (Radic, Herrmann, Haberland, Riese, 2022), концептуально близки к задачам настоящего исследования, однако остаются на уровне неоперационализированной количественно управленческой схемы, не содержащей формализованной процедуры расчёта.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Финансовые показатели как косвенный индикатор (proxy) трансформации широко используются именно в рассмотренной в разделе 1.1 firm-level литературе о санкциях (Huynh, Hoang, Ongena, 2022; Dobrynina, Grishunin, 2025; Lee, Kumo, 2025): данный подход обеспечивает высокую строгость эконометрической оценки и доступность данных, но, как показано выше, систематически смешивает результат деятельности со способом его достижения.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Текстовый анализ корпоративной отчётности образует развивающееся направление измерения: методологическое обоснование того, что текстовый анализ раскрывает информацию, не сводимую к табличным финансовым показателям, установлено применительно к тональности отчётности в целом (Loughran, McDonald, 2011), однако систематическое рассмотрение литературы не выявило работ, применяющих подобный анализ специфически к измерению трансформации структурных блоков бизнес-модели под воздействием внешнего шока, — данное направление остаётся методологически перспективным, но эмпирически неразработанным применительно к предмету настоящего исследования.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Патентные и продуктовые показатели используются как косвенный индикатор технологической составляющей трансформации: рост патентной активности как реакция на технологический экспортный контроль зафиксирован применительно к китайским компаниям (Lin, Zhang, Yang, Chen, 2025), однако подобный показатель по определению охватывает лишь один структурный блок бизнес-модели — технологические ресурсы, — оставляя вне измерения партнёрскую сеть, структуру доходов, каналы сбыта и прочие элементы, установленные в настоящем разделе как содержательные составляющие конструкта.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Показатели структуры выручки — географической и продуктовой сегментации, раскрываемой в отчётности по МСФО, — используются как частный индикатор в отдельных из рассмотренных firm-level исследований, но, как и патентные показатели, охватывают лишь отдельный структурный блок бизнес-модели, а не её конфигурацию в целом.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Сопоставление семи рассмотренных подходов приводит к следующему обобщению: теоретическое понимание бизнес-модели как многомерного, системного конструкта разработано зрелым образом, и отдельные элементы измерительного инструментария — валидированные шкалы (Клаусс), управленческие фреймворки (Радич с соавторами), текстовый и патентный анализ отдельных компонентов — также существуют. Однако её количественная операционализация в контексте воздействия конкретного, специфически санкционного внешнего шока на панельных данных публичной отчётности компаний, пригодная для последующей эконометрической причинной оценки, в рассмотренной совокупности литературы не выявлена: каждый из существующих измерительных подходов удовлетворяет лишь части требований, предъявляемых задачей настоящего исследования, — либо строгости измерения при узости охвата (патентные и финансовые показатели), либо широте охвата при отсутствии количественной строгости (кейс-исследования, управленческие фреймворки), либо количественной строгости при отсутствии применимости к вторичным панельным данным (валидированные опросные шкалы).</w:t>
      </w:r>
    </w:p>
    <w:p>
      <w:pPr>
        <w:pStyle w:val="Heading2"/>
        <w:spacing w:after="20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1.4. Специфика трансформации бизнес-моделей компаний IT-отрасли в условиях санкционного давления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Установленный в разделах 1.1–1.3 дефицит методического инструментария носит общий характер и в равной мере затрагивает анализ любой отрасли. Прежде чем перейти к его формальному обобщению (раздел 1.5–1.6), необходимо обосновать, почему именно IT-отрасль образует наиболее содержательно значимый объект для разработки и последующей апробации искомой методики, а не произвольно выбранное эмпирическое поле.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IT-компания определяется в настоящем исследовании как хозяйствующий субъект, основным видом деятельности которого выступает разработка, интеграция, поддержка или предоставление программного обеспечения, информационных систем и связанных с ними технологических услуг; IT-отрасль — как совокупность подобных субъектов, объединённых общностью технологической базы, рынков сбыта и регуляторной среды, что соответствует практике классификации, используемой Реестром аккредитованных IT-организаций Министерства цифрового развития Российской Федерации.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Отрасль характеризуется сочетанием черт, которое структурно предрасполагает её к многоканальной, а не одноканальной реакции на санкционный шок: высокой зависимостью от зарубежного лицензионного программного обеспечения, платформ разработки и облачной инфраструктуры; зависимостью от импортируемых аппаратных компонентов, включая полупроводники; высокой ролью человеческого капитала и расходов на исследования и разработки; значимыми сетевыми эффектами; интенсивными международными партнёрскими связями и зависимостью от международных платёжных систем, обеспечивавших расчёты по зарубежным контрактам. В отличие от отраслей, где санкционное воздействие реализуется преимущественно через единственный канал — например, ограничение доступа к экспортным рынкам, — воздействие на IT-компанию распространяется последовательно по цепочке взаимосвязанных структурных элементов: от ключевых ресурсов и партнёрской сети — через продуктовый портфель — к географии и структуре рынков сбыта, составу клиентской базы, каналам продаж и, в конечном счёте, структуре доходной модели. Данная многоканальность образует эмпирическое основание требования к многомерности измерения, установленного теоретически в разделе 1.3: если бы воздействие санкций на компанию реализовывалось через единственный канал, одномерного финансового индикатора могло бы оказаться достаточно; многоканальная природа воздействия делает подобную редукцию содержательно неадекватной.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Дополнительным основанием выступает наблюдаемая неоднородность реакции компаний отрасли: уход значительной части западных поставщиков программного обеспечения и облачных сервисов, а также экспортные ограничения на отдельные категории полупроводников затронули различные сегменты отрасли неодинаково — компании, преимущественно осуществлявшие интеграцию зарубежных решений, столкнулись с прямой утратой продуктовой базы, тогда как компании, специализирующиеся на разработке отечественных решений, в том числе в области кибербезопасности, получили возможность расширения рыночной доли за счёт сегментов, освобождённых уходом иностранных конкурентов. Данная неоднородность образует необходимую для эконометрического анализа вариацию зависимой переменной, без которой содержательная причинная идентификация невозможна.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Российский контекст санкционного воздействия на IT-отрасль не сводится к единичному событию, а представляет собой последовательность двух качественно различных эпизодов. Санкционный режим, введённый начиная с 2014 г., затронул преимущественно финансовый и энергетический секторы и лишь ограниченно — технологическую сферу, не создав массовых препятствий для использования зарубежного программного обеспечения; его основным следствием для отрасли стал первичный институциональный импульс к политике импортозамещения, носившей на данном этапе точечный характер. Санкционный режим, введённый начиная с 2022 г., отличается качественно: он включил массовый технологический экспортный контроль, сопровождался добровольным уходом западных технологических компаний с российского рынка и вызвал системный государственный ответ — требования об обязательном переходе объектов критической информационной инфраструктуры на отечественное программное обеспечение, формирование индустриальных центров компетенций, расширение налоговых льгот и программ льготного кредитования. Систематизация адаптационных стратегий российских компаний к данному эпизоду показывает, что диапазон применяемых стратегий существенно различался по отраслям и по исходному уровню технологической зависимости фирм от западных решений (Kuzyk, Simachev, 2023). Государственная политика поддержки при этом действует в том же направлении и зачастую одновременно с санкционным шоком, что образует не просто фактологический фон, а методологический вызов, требующий отдельного решения в рамках разрабатываемой методики (раздел 1.6): наблюдаемая трансформация бизнес-модели представляет собой совокупный результат санкционного давления и эндогенного по отношению к нему политического ответа, что необходимо будет явно учитывать при интерпретации причинных оценок.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Достаточна ли совокупность рассмотренных содержательных характеристик IT-отрасли и российского контекста для того, чтобы существующий методический инструментарий мог быть применён к решению задачи настоящего исследования без дополнительной разработки? Нет: отраслевая специфика и специфика российского контекста не устраняют, а, напротив, обостряют дефицит, установленный в разделах 1.1–1.3, — многоканальность и неоднородность воздействия требуют именно того многомерного, причинно идентифицируемого измерительного инструментария, который в существующей литературе отсутствует в готовом виде. Формальное обобщение данного дефицита в виде систематизированного анализа методического инструментария и вытекающих из него требований к разрабатываемой методике составляет содержание следующих двух разделов настоящей главы.</w:t>
      </w:r>
    </w:p>
    <w:p>
      <w:pPr>
        <w:pStyle w:val="Heading2"/>
        <w:spacing w:after="20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1.5. Степень разработанности проблемы и анализ существующего методического инструментария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Материал, рассмотренный в разделах 1.1–1.4, позволяет дать не декларативную, а дифференцированную оценку степени научной разработанности проблемы, различающую три уровня зрелости соответствующих направлений литературы.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Хорошо разработанными следует признать: теорию санкций и их типологию (Hufbauer, Schott, Elliott, Oegg, 2007; Felbermayr, Kirilakha, Syropoulos, Yalcin, Yotov, 2020); макроэкономические последствия санкций (Neuenkirch, Neumeier, 2015); теорию бизнес-моделей как концептуального конструкта (Osterwalder, Pigneur, 2010; Zott, Amit, Massa, 2011; Casadesus-Masanell, Ricart, 2010); теорию динамических способностей (Teece, Pisano, Shuen, 1997; Teece, 2007); и панельную эконометрику причинного вывода в широком смысле, включая метод разности разностей (обзор соответствующего инструментария приведён ниже). Каждое из перечисленных направлений обладает устоявшимся понятийным аппаратом, признанными методами и воспроизводимыми результатами.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Частично разработанными следует признать: количественную оценку санкционного воздействия на уровне отдельной фирмы, где методология причинной идентификации развита, но применяется к финансовым, а не структурным показателям (Ahn, Ludema, 2020; Huynh, Hoang, Ongena, 2022; Dobrynina, Grishunin, 2025); количественную операционализацию трансформации бизнес-модели, где отдельные измерительные решения существуют (Clauss, 2017; Radic, Herrmann, Haberland, Riese, 2022), но не адаптированы к панельным вторичным данным и не связаны с конкретным типом внешнего шока; и эмпирическую операционализацию теории динамических способностей в кризисных условиях, где количественные работы появляются (Dejardin et al., 2022; Sahebalzamani et al., 2022), но остаются ограниченными шоками общего характера.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Недостаточно разработанной следует признать интеграцию перечисленных элементов в единую воспроизводимую эконометрическую методику, одновременно решающую задачи измерения санкционной экспозиции фирмы, измерения трансформации её бизнес-модели и причинной идентификации связи между ними применительно к специфически санкционному шоку и к российским IT-компаниям. Данная оценка не является преждевременным заявлением: она опирается на систематический анализ семи направлений литературы, представленный ниже в табличной форме (таблица 1.1), и заново подтверждается при рассмотрении существующего эконометрического инструментария.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Экономическая наука располагает развитым набором эконометрических методов причинного анализа, однако для целей настоящего раздела существен не технический аппарат каждого метода — он подробно раскрывается в третьей главе диссертации, — а то, какую конкретную исследовательскую задачу настоящей диссертации способен решить каждый метод и, соответственно, какую задачу ни один из них по отдельности не решает.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Кросс-секционная регрессия позволяет оценить ассоциацию между санкционной экспозицией и исходом в отдельный момент времени, но не контролирует ненаблюдаемую гетерогенность компаний и крайне уязвима к смещению из-за пропущенных переменных. Панельная регрессия с фиксированными эффектами устраняет данное ограничение, позволяя контролировать неизменную во времени ненаблюдаемую гетерогенность компаний, потенциально коррелирующую как с исходной санкционной экспозицией, так и со способностью к адаптации; модель со случайными эффектами альтернативна ей при более сильном и, применительно к настоящей задаче, менее правдоподобном предположении о некоррелированности эффектов с регрессорами. Метод разности разностей позволяет перейти от простой ассоциации к квазиэкспериментальной идентификации эффекта при выполнении предпосылки параллельных трендов, разграничивая эффект шока от общей временнóй динамики. Событийный анализ (event study) позволяет проверить динамику эффекта во времени и предшоковые тренды, что образует одновременно диагностику идентифицирующей предпосылки и содержательную проверку гипотезы о лаге трансформации. Метод синтетического контроля позволяет построить контрфактическую траекторию для отдельной единицы наблюдения при отсутствии естественной контрольной группы; синтетическая разность разностей комбинирует данную логику с логикой временны́х фиксированных эффектов, что особенно значимо при риске одновременной подверженности потенциальных доноров общему макрошоку. Инструментальные переменные и методы сопоставления (matching) позволяют корректировать эндогенность объясняющей переменной либо смещение отбора при наличии содержательно обоснованного инструмента или наблюдаемых предикторов отбора соответственно; их применимость к задаче настоящего исследования требует отдельной проверки, а не автоматического включения. Пороговые регрессионные модели позволяют проверить нелинейный, пороговый характер зависимости, не предполагая её линейности априорно. Модели выживания и бинарного выбора (Logit/Probit) позволяют учесть возможное выбывание компаний из панели вследствие шока и проверить устойчивость результата к альтернативной, бинарной операционализации зависимой переменной.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Существенно, что каждый из перечисленных методов эффективен при одном общем условии: объясняющая и зависимая переменные должны быть предварительно и корректно операционализированы. Метод разности разностей не определяет самостоятельно, что такое санкционная экспозиция компании; пороговая регрессия не определяет, что такое трансформация бизнес-модели; событийный анализ нуждается в заранее заданной, статистически измеримой зависимой переменной для построения динамического профиля. Иными словами, зрелость эконометрического инструментария сама по себе не устраняет дефицит, установленный в разделах 1.1–1.4, а, напротив, делает его более отчётливым: методы причинного вывода готовы к применению, но не имеют операционализированного объекта применения, адекватного задаче измерения трансформации бизнес-модели.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Сопоставление четырёх направлений литературы, рассмотренных в настоящей главе, обнаруживает не разрозненный, а системный характер несостыковки, определяющий структуру научной проблемы. Литература о санкциях (раздел 1.1) хорошо измеряет макроэкономические, отраслевые и финансово-фирменные последствия, но не отвечает на вопрос о системной трансформации бизнес-модели. Литература о бизнес-моделях (раздел 1.3) содержательно описывает структуру и элементы бизнес-модели, но лишь в единичных случаях предлагает строгий количественный, причинно ориентированный инструментарий её измерения. Литература об адаптации компаний, включая теорию динамических способностей (раздел 1.2), объясняет теоретический механизм перехода от шока к реконфигурации, но не формализует данный переход в виде операциональной эконометрической схемы, связывающей интенсивность шока с измеримым исходом. Эконометрика причинного вывода предлагает отработанный набор инструментов (настоящий раздел), однако данные инструменты требуют на входе именно тех операционализированных конструкций — санкционной экспозиции и трансформации бизнес-модели, — которые ни одно из трёх содержательных направлений не поставляет в готовом виде.</w:t>
      </w:r>
    </w:p>
    <w:p>
      <w:pPr>
        <w:spacing w:after="120" w:before="24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1.1 — Систематизация исследований по проблеме воздействия внешних шоков и санкций на компании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2"/>
          <w:insideV w:val="single" w:color="000000" w:sz="2"/>
        </w:tblBorders>
      </w:tblPr>
      <w:tblGrid>
        <w:gridCol w:w="1310"/>
        <w:gridCol w:w="1497"/>
        <w:gridCol w:w="1403"/>
        <w:gridCol w:w="1310"/>
        <w:gridCol w:w="2058"/>
        <w:gridCol w:w="1777"/>
      </w:tblGrid>
      <w:tr>
        <w:trPr>
          <w:tblHeader/>
        </w:trPr>
        <w:tc>
          <w:tcPr>
            <w:tcW w:type="dxa" w:w="131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Направление</w:t>
            </w:r>
          </w:p>
        </w:tc>
        <w:tc>
          <w:tcPr>
            <w:tcW w:type="dxa" w:w="1497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Автор, год</w:t>
            </w:r>
          </w:p>
        </w:tc>
        <w:tc>
          <w:tcPr>
            <w:tcW w:type="dxa" w:w="1403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Объект</w:t>
            </w:r>
          </w:p>
        </w:tc>
        <w:tc>
          <w:tcPr>
            <w:tcW w:type="dxa" w:w="131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Метод</w:t>
            </w:r>
          </w:p>
        </w:tc>
        <w:tc>
          <w:tcPr>
            <w:tcW w:type="dxa" w:w="2058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Основной результат</w:t>
            </w:r>
          </w:p>
        </w:tc>
        <w:tc>
          <w:tcPr>
            <w:tcW w:type="dxa" w:w="1777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Ограничение применительно к задаче диссертации</w:t>
            </w:r>
          </w:p>
        </w:tc>
      </w:tr>
      <w:tr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Санкции: макроуровень</w:t>
            </w:r>
          </w:p>
        </w:tc>
        <w:tc>
          <w:tcPr>
            <w:tcW w:type="dxa" w:w="149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Hufbauer, Schott, Elliott, Oegg (2007); Neuenkirch, Neumeier (2015)</w:t>
            </w:r>
          </w:p>
        </w:tc>
        <w:tc>
          <w:tcPr>
            <w:tcW w:type="dxa" w:w="140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Страны — объекты санкций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Историко-статистический анализ; панельная регрессия FE</w:t>
            </w:r>
          </w:p>
        </w:tc>
        <w:tc>
          <w:tcPr>
            <w:tcW w:type="dxa" w:w="205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Санкции снижают темп роста ВВП на 2,3–3,5 п.п. в год</w:t>
            </w:r>
          </w:p>
        </w:tc>
        <w:tc>
          <w:tcPr>
            <w:tcW w:type="dxa" w:w="177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Единица анализа — страна; не фиксирует неоднородность фирм</w:t>
            </w:r>
          </w:p>
        </w:tc>
      </w:tr>
      <w:tr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Санкции: отраслевой уровень</w:t>
            </w:r>
          </w:p>
        </w:tc>
        <w:tc>
          <w:tcPr>
            <w:tcW w:type="dxa" w:w="149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Lin, Zhang, Yang, Chen (2025)</w:t>
            </w:r>
          </w:p>
        </w:tc>
        <w:tc>
          <w:tcPr>
            <w:tcW w:type="dxa" w:w="140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Подсанкционные технологические компании Китая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Эконометрический анализ панели фирм</w:t>
            </w:r>
          </w:p>
        </w:tc>
        <w:tc>
          <w:tcPr>
            <w:tcW w:type="dxa" w:w="205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Экспортный контроль стимулирует патентную активность подсанкционных фирм</w:t>
            </w:r>
          </w:p>
        </w:tc>
        <w:tc>
          <w:tcPr>
            <w:tcW w:type="dxa" w:w="177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Зависимая переменная — инновационная активность, не БМ</w:t>
            </w:r>
          </w:p>
        </w:tc>
      </w:tr>
      <w:tr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Санкции: фирменный уровень</w:t>
            </w:r>
          </w:p>
        </w:tc>
        <w:tc>
          <w:tcPr>
            <w:tcW w:type="dxa" w:w="149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Ahn, Ludema (2020); Huynh, Hoang, Ongena (2022); Dobrynina, Grishunin (2025); Kuzyk, Simachev (2023)</w:t>
            </w:r>
          </w:p>
        </w:tc>
        <w:tc>
          <w:tcPr>
            <w:tcW w:type="dxa" w:w="140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Подсанкционные и российские компании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Панельная регрессия; авторские индексы санкционного давления; описательная систематизация</w:t>
            </w:r>
          </w:p>
        </w:tc>
        <w:tc>
          <w:tcPr>
            <w:tcW w:type="dxa" w:w="205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Зафиксирован значимый эффект на финансовую результативность и адаптационные стратегии</w:t>
            </w:r>
          </w:p>
        </w:tc>
        <w:tc>
          <w:tcPr>
            <w:tcW w:type="dxa" w:w="177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DV — финансовые показатели либо описательные стратегии, не индекс БМ</w:t>
            </w:r>
          </w:p>
        </w:tc>
      </w:tr>
      <w:tr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Адаптация к шокам</w:t>
            </w:r>
          </w:p>
        </w:tc>
        <w:tc>
          <w:tcPr>
            <w:tcW w:type="dxa" w:w="149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Peñarroya-Farell, Miralles (2022); Radic et al. (2022)</w:t>
            </w:r>
          </w:p>
        </w:tc>
        <w:tc>
          <w:tcPr>
            <w:tcW w:type="dxa" w:w="140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Компании в кризисных условиях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Кросс-кейсовый анализ; framework-разработка</w:t>
            </w:r>
          </w:p>
        </w:tc>
        <w:tc>
          <w:tcPr>
            <w:tcW w:type="dxa" w:w="205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Установлена связь шока со структурными характеристиками БМ</w:t>
            </w:r>
          </w:p>
        </w:tc>
        <w:tc>
          <w:tcPr>
            <w:tcW w:type="dxa" w:w="177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Качественный метод либо неоперационализированный framework</w:t>
            </w:r>
          </w:p>
        </w:tc>
      </w:tr>
      <w:tr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Динамические способности</w:t>
            </w:r>
          </w:p>
        </w:tc>
        <w:tc>
          <w:tcPr>
            <w:tcW w:type="dxa" w:w="149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Teece, Pisano, Shuen (1997); Dejardin et al. (2022); Sahebalzamani et al. (2022)</w:t>
            </w:r>
          </w:p>
        </w:tc>
        <w:tc>
          <w:tcPr>
            <w:tcW w:type="dxa" w:w="140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Фирмы в динамичной / кризисной среде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Концептуальный анализ; структурное моделирование</w:t>
            </w:r>
          </w:p>
        </w:tc>
        <w:tc>
          <w:tcPr>
            <w:tcW w:type="dxa" w:w="205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ДС опосредуют результативность и инновацию БМ в кризис</w:t>
            </w:r>
          </w:p>
        </w:tc>
        <w:tc>
          <w:tcPr>
            <w:tcW w:type="dxa" w:w="177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Общий кризис, не санкции; не Россия, не IT</w:t>
            </w:r>
          </w:p>
        </w:tc>
      </w:tr>
      <w:tr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Измерение бизнес-моделей</w:t>
            </w:r>
          </w:p>
        </w:tc>
        <w:tc>
          <w:tcPr>
            <w:tcW w:type="dxa" w:w="149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Osterwalder, Pigneur (2010); Clauss (2017); Foss, Saebi (2017)</w:t>
            </w:r>
          </w:p>
        </w:tc>
        <w:tc>
          <w:tcPr>
            <w:tcW w:type="dxa" w:w="140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Бизнес-модель как конструкт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Концептуальная разработка; валидация опросной шкалы</w:t>
            </w:r>
          </w:p>
        </w:tc>
        <w:tc>
          <w:tcPr>
            <w:tcW w:type="dxa" w:w="205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Разработан теоретический аппарат и отдельные измерительные шкалы</w:t>
            </w:r>
          </w:p>
        </w:tc>
        <w:tc>
          <w:tcPr>
            <w:tcW w:type="dxa" w:w="177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Шкалы опросные, не адаптированы к вторичным панельным данным</w:t>
            </w:r>
          </w:p>
        </w:tc>
      </w:tr>
      <w:tr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Российские IT-компании</w:t>
            </w:r>
          </w:p>
        </w:tc>
        <w:tc>
          <w:tcPr>
            <w:tcW w:type="dxa" w:w="149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Kuzyk, Simachev (2023)</w:t>
            </w:r>
          </w:p>
        </w:tc>
        <w:tc>
          <w:tcPr>
            <w:tcW w:type="dxa" w:w="140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Российские компании, 2022 г.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Описательная систематизация</w:t>
            </w:r>
          </w:p>
        </w:tc>
        <w:tc>
          <w:tcPr>
            <w:tcW w:type="dxa" w:w="205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Систематизированы стратегии адаптации к санкциям 2022 г.</w:t>
            </w:r>
          </w:p>
        </w:tc>
        <w:tc>
          <w:tcPr>
            <w:tcW w:type="dxa" w:w="177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 эконометрическая модель; не IT-специфична</w:t>
            </w:r>
          </w:p>
        </w:tc>
      </w:tr>
    </w:tbl>
    <w:p>
      <w:pPr>
        <w:spacing w:after="240" w:before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Источник: составлено автором.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Установленная системная несостыковка образует основание для формулирования требований к разрабатываемой методике, представленных в таблице 1.2: для каждой выявленной проблемы указаны конкретное ограничение существующего подхода, вытекающее из него методологическое следствие и соответствующее требование к архитектуре будущей методики.</w:t>
      </w:r>
    </w:p>
    <w:p>
      <w:pPr>
        <w:spacing w:after="120" w:before="24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1.2 — Научные ограничения существующих подходов и требования к разрабатываемой методике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2"/>
          <w:insideV w:val="single" w:color="000000" w:sz="2"/>
        </w:tblBorders>
      </w:tblPr>
      <w:tblGrid>
        <w:gridCol w:w="2245"/>
        <w:gridCol w:w="2526"/>
        <w:gridCol w:w="2339"/>
        <w:gridCol w:w="2245"/>
      </w:tblGrid>
      <w:tr>
        <w:trPr>
          <w:tblHeader/>
        </w:trPr>
        <w:tc>
          <w:tcPr>
            <w:tcW w:type="dxa" w:w="2245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Выявленная проблема</w:t>
            </w:r>
          </w:p>
        </w:tc>
        <w:tc>
          <w:tcPr>
            <w:tcW w:type="dxa" w:w="2526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Ограничение существующего подхода</w:t>
            </w:r>
          </w:p>
        </w:tc>
        <w:tc>
          <w:tcPr>
            <w:tcW w:type="dxa" w:w="2339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Методологическое следствие</w:t>
            </w:r>
          </w:p>
        </w:tc>
        <w:tc>
          <w:tcPr>
            <w:tcW w:type="dxa" w:w="2245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Требование к разрабатываемой методике</w:t>
            </w:r>
          </w:p>
        </w:tc>
      </w:tr>
      <w:tr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Санкционное воздействие измеряется как факт (dummy) либо не разграничивается по каналам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 учитывается неоднородность предсанкционной интеграции фирм в западные контуры (разделы 1.1, 1.4)</w:t>
            </w:r>
          </w:p>
        </w:tc>
        <w:tc>
          <w:tcPr>
            <w:tcW w:type="dxa" w:w="233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Необходимо измерять интенсивность потенциального воздействия, а не только его наличие</w:t>
            </w:r>
          </w:p>
        </w:tc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Многокомпонентный индекс санкционной экспозиции, измеряемый до наступления шока</w:t>
            </w:r>
          </w:p>
        </w:tc>
      </w:tr>
      <w:tr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Трансформация бизнес-модели описывается качественно либо через опросные шкалы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Невозможно количественно сопоставить компании на панельных вторичных данных (раздел 1.3)</w:t>
            </w:r>
          </w:p>
        </w:tc>
        <w:tc>
          <w:tcPr>
            <w:tcW w:type="dxa" w:w="233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Необходима операционализация на основе публичной отчётности</w:t>
            </w:r>
          </w:p>
        </w:tc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Составной индекс трансформации бизнес-модели на основе структурных блоков</w:t>
            </w:r>
          </w:p>
        </w:tc>
      </w:tr>
      <w:tr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Финансовые показатели используются как proxy трансформации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 отражают системную, многоканальную природу изменения бизнес-модели (разделы 1.3, 1.4)</w:t>
            </w:r>
          </w:p>
        </w:tc>
        <w:tc>
          <w:tcPr>
            <w:tcW w:type="dxa" w:w="233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Необходим многомерный, а не одномерный измерительный конструкт</w:t>
            </w:r>
          </w:p>
        </w:tc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Агрегирование изменений по девяти структурным блокам в единый индекс</w:t>
            </w:r>
          </w:p>
        </w:tc>
      </w:tr>
      <w:tr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Причинная идентификация применяется к финансовым, а не структурным показателям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Отработанный инструментарий метода разности разностей не связан с операционализацией бизнес-модели (раздел 1.5)</w:t>
            </w:r>
          </w:p>
        </w:tc>
        <w:tc>
          <w:tcPr>
            <w:tcW w:type="dxa" w:w="233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Необходимо перенести идентификационную стратегию на новую зависимую переменную</w:t>
            </w:r>
          </w:p>
        </w:tc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Панельная модель с фиксированными эффектами и разность разностей применительно к индексу трансформации</w:t>
            </w:r>
          </w:p>
        </w:tc>
      </w:tr>
      <w:tr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Динамика реакции фирмы не учитывается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Механизм seizing предполагает издержки корректировки, не совместимые с мгновенной реакцией (раздел 1.2)</w:t>
            </w:r>
          </w:p>
        </w:tc>
        <w:tc>
          <w:tcPr>
            <w:tcW w:type="dxa" w:w="233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Необходима динамическая, а не статическая спецификация</w:t>
            </w:r>
          </w:p>
        </w:tc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Событийный анализ с лидами и лагами</w:t>
            </w:r>
          </w:p>
        </w:tc>
      </w:tr>
      <w:tr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Зависимость шока и трансформации предполагается линейной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Ни одна из рассмотренных работ не проверяет наличие критического уровня воздействия (раздел 1.5)</w:t>
            </w:r>
          </w:p>
        </w:tc>
        <w:tc>
          <w:tcPr>
            <w:tcW w:type="dxa" w:w="233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Необходима проверка нелинейности зависимости</w:t>
            </w:r>
          </w:p>
        </w:tc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Пороговая регрессия</w:t>
            </w:r>
          </w:p>
        </w:tc>
      </w:tr>
      <w:tr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 учитывается возможное выбывание компаний из выборки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Санкционный шок способен приводить не только к трансформации, но и к уходу компании с рынка (раздел 1.4)</w:t>
            </w:r>
          </w:p>
        </w:tc>
        <w:tc>
          <w:tcPr>
            <w:tcW w:type="dxa" w:w="233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Необходима отдельная проверка неслучайности выбывания</w:t>
            </w:r>
          </w:p>
        </w:tc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Модель вероятности выбывания (Logit/Probit)</w:t>
            </w:r>
          </w:p>
        </w:tc>
      </w:tr>
      <w:tr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Результат зависит от способа измерения ключевых конструкций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Различные способы агрегирования (равные веса, PCA, экспертные веса) дают потенциально различные результаты</w:t>
            </w:r>
          </w:p>
        </w:tc>
        <w:tc>
          <w:tcPr>
            <w:tcW w:type="dxa" w:w="233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Необходима систематическая проверка устойчивости к альтернативным спецификациям</w:t>
            </w:r>
          </w:p>
        </w:tc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Система robustness-проверок и sensitivity-анализа</w:t>
            </w:r>
          </w:p>
        </w:tc>
      </w:tr>
      <w:tr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Контрольные единицы при сопоставлении подвержены тому же макрошоку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Классический синтетический контроль требует «чистого» донорского пула, отсутствующего при страновом шоке (раздел 1.5)</w:t>
            </w:r>
          </w:p>
        </w:tc>
        <w:tc>
          <w:tcPr>
            <w:tcW w:type="dxa" w:w="233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Требуется альтернативная стратегия построения контрфактической траектории</w:t>
            </w:r>
          </w:p>
        </w:tc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Синтетическая разность разностей</w:t>
            </w:r>
          </w:p>
        </w:tc>
      </w:tr>
    </w:tbl>
    <w:p>
      <w:pPr>
        <w:spacing w:after="240" w:before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Источник: составлено автором.</w:t>
      </w:r>
    </w:p>
    <w:p>
      <w:pPr>
        <w:pStyle w:val="Heading2"/>
        <w:spacing w:after="20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1.6. Научная проблема, исследовательский пробел и требования к разрабатываемой методике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Материал разделов 1.1–1.5 позволяет сформулировать научную проблему настоящего исследования не как констатацию недостаточной изученности темы, а как выявленное противоречие: между высоким уровнем развития теоретического и эмпирического инструментария в каждом из смежных направлений — исследованиях санкционного воздействия на фирмы, теории адаптации и динамических способностей, теории и измерении бизнес-моделей, эконометрике причинного вывода — и отсутствием целостного, воспроизводимого инструментария, интегрирующего данные направления для решения конкретной задачи: эконометрической оценки того, каким образом неоднородная по фирмам интенсивность санкционного воздействия приводит к системной трансформации бизнес-модели компаний IT-отрасли.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Исследовательский пробел, логически выводимый из систематического обзора (таблица 1.1) и анализа методического инструментария (раздел 1.5), формулируется следующим образом: существуют методологически зрелые исследования санкционного воздействия на финансовые показатели фирм; существует развитая теория бизнес-модели как многомерного конструкта и отдельные примеры её количественного измерения на опросных данных; существует теория динамических способностей, объясняющая механизм перехода от внешнего шока к реконфигурации бизнес-модели, включая её растущую количественную операционализацию применительно к общим кризисным шокам; существует отработанный эконометрический инструментарий причинной идентификации на панельных данных. Однако интегрированное применение данных элементов для количественной, статистически верифицируемой и причинно идентифицируемой оценки влияния неоднородного по интенсивности санкционного шока на системную трансформацию бизнес-модели российских IT-компаний в рассмотренной совокупности литературы не выявлено.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Выявленное противоречие не может быть устранено посредством выбора одного дополнительного регрессора, одной альтернативной зависимой переменной или одного эконометрического метода, применённого к уже существующим показателям, поскольку дефицит одновременно относится к четырём различным по природе задачам: измерению санкционного воздействия на уровне отдельной фирмы, измерению трансформации бизнес-модели как многомерного результата, причинной идентификации связи между ними и проверке устойчивости получаемых оценок к альтернативным способам измерения и спецификации. Устранение подобного многосоставного дефицита требует не отдельного метода, а последовательной системы взаимосвязанных методологических решений — то есть разработки методики, а не выбора существующего инструмента. Требования, которым должна соответствовать данная методика, выводятся непосредственно из установленных в разделах 1.1–1.5 ограничений.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Требование многомерности: поскольку бизнес-модель установлена в разделе 1.3 как система взаимозависимых структурных элементов, а не единичный показатель, методика должна операционализировать её трансформацию через совокупность структурных индикаторов, агрегируемых в составной индекс, а не через одну финансовую переменную. Требование учёта фирменной неоднородности: поскольку санкционное воздействие, установленное в разделах 1.1 и 1.4, дифференцировано по компаниям в зависимости от их предшоковой интеграции в затрагиваемые контуры, методика должна измерять интенсивность, а не только факт воздействия. Требование предсанкционной предопределённости меры экспозиции: поскольку показатель, измеренный одновременно с исходом, содержательно смешивает причину со следствием, мера санкционной экспозиции должна быть зафиксирована до наступления шока. Требование причинной идентификации: поскольку простое сопоставление состояний «до» и «после» не отделяет санкционный эффект от общих временны́х изменений, методика должна опираться на quasi-экспериментальный дизайн, а не только на ассоциативную оценку. Требование динамичности: поскольку механизм seizing, установленный в разделе 1.2, сопряжён с издержками корректировки, методика должна допускать лаговый характер эффекта, а не предполагать мгновенную реакцию. Требование проверки нелинейности: поскольку теоретически обоснована (раздел 1.2) возможность качественного перехода между режимами адаптации при различной интенсивности давления, методика должна проверять, а не постулировать линейность зависимости. Требование робастности: поскольку различные способы операционализации ключевых конструкций способны давать различающиеся количественные результаты, выводы методики должны быть устойчивы к альтернативным спецификациям измерения и оценивания. Требование воспроизводимости: поскольку научный результат диссертации есть методика, а не единичная эмпирическая оценка, все процедуры построения показателей и оценивания моделей должны быть в явном виде документированы и повторяемы независимым исследователем. Требование адаптируемости: поскольку апробация на отдельной компании (глава 4) является лишь частным случаем применения методики, последняя должна быть сформулирована на уровне генерального класса IT-компаний, а не подстроена под характеристики единичного кейса.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Формирование архитектуры методики на основе перечисленных требований и выявленных дефицитов литературы представлено в таблице 1.3, устанавливающей прямое соответствие между каждой исследовательской проблемой, дефицитом существующей литературы, авторским методологическим решением и реализующим его инструментом.</w:t>
      </w:r>
    </w:p>
    <w:p>
      <w:pPr>
        <w:spacing w:after="120" w:before="24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1.3 — Формирование авторской методики на основе выявленных исследовательских дефицитов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2"/>
          <w:insideV w:val="single" w:color="000000" w:sz="2"/>
        </w:tblBorders>
      </w:tblPr>
      <w:tblGrid>
        <w:gridCol w:w="1871"/>
        <w:gridCol w:w="2619"/>
        <w:gridCol w:w="2807"/>
        <w:gridCol w:w="2058"/>
      </w:tblGrid>
      <w:tr>
        <w:trPr>
          <w:tblHeader/>
        </w:trPr>
        <w:tc>
          <w:tcPr>
            <w:tcW w:type="dxa" w:w="1871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Исследовательская проблема</w:t>
            </w:r>
          </w:p>
        </w:tc>
        <w:tc>
          <w:tcPr>
            <w:tcW w:type="dxa" w:w="2619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Выявленный дефицит литературы</w:t>
            </w:r>
          </w:p>
        </w:tc>
        <w:tc>
          <w:tcPr>
            <w:tcW w:type="dxa" w:w="2807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Авторское методологическое решение</w:t>
            </w:r>
          </w:p>
        </w:tc>
        <w:tc>
          <w:tcPr>
            <w:tcW w:type="dxa" w:w="2058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Реализуемый инструмент</w:t>
            </w:r>
          </w:p>
        </w:tc>
      </w:tr>
      <w:tr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Измерение интенсивности санкционного воздействия на фирму</w:t>
            </w:r>
          </w:p>
        </w:tc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Санкции измеряются как бинарный факт либо через постфактум-показатели, смешивающие причину со следствием (раздел 1.1)</w:t>
            </w:r>
          </w:p>
        </w:tc>
        <w:tc>
          <w:tcPr>
            <w:tcW w:type="dxa" w:w="280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Построение предсанкционного, многокомпонентного индекса интенсивности потенциального воздействия по технологическому, рыночному и финансовому каналам</w:t>
            </w:r>
          </w:p>
        </w:tc>
        <w:tc>
          <w:tcPr>
            <w:tcW w:type="dxa" w:w="205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Индекс санкционной экспозиции компании (ИСЭК)</w:t>
            </w:r>
          </w:p>
        </w:tc>
      </w:tr>
      <w:tr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Измерение трансформации бизнес-модели</w:t>
            </w:r>
          </w:p>
        </w:tc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Бизнес-модель измеряется качественно либо через опросные шкалы, не адаптированные к вторичным панельным данным (раздел 1.3)</w:t>
            </w:r>
          </w:p>
        </w:tc>
        <w:tc>
          <w:tcPr>
            <w:tcW w:type="dxa" w:w="280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Операционализация девяти структурных блоков через показатели, извлекаемые из публичной отчётности, и их агрегирование в составной индекс</w:t>
            </w:r>
          </w:p>
        </w:tc>
        <w:tc>
          <w:tcPr>
            <w:tcW w:type="dxa" w:w="205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Индекс трансформации бизнес-модели (ИТБМ)</w:t>
            </w:r>
          </w:p>
        </w:tc>
      </w:tr>
      <w:tr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Контроль ненаблюдаемой неоднородности фирм</w:t>
            </w:r>
          </w:p>
        </w:tc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Firm-level исследования санкций не всегда контролируют неизменные во времени характеристики фирм, коррелирующие с экспозицией (раздел 1.5)</w:t>
            </w:r>
          </w:p>
        </w:tc>
        <w:tc>
          <w:tcPr>
            <w:tcW w:type="dxa" w:w="280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Оценивание в рамках панельной модели с индивидуальными и временны́ми фиксированными эффектами</w:t>
            </w:r>
          </w:p>
        </w:tc>
        <w:tc>
          <w:tcPr>
            <w:tcW w:type="dxa" w:w="205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Two-way fixed effects</w:t>
            </w:r>
          </w:p>
        </w:tc>
      </w:tr>
      <w:tr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Причинная идентификация эффекта</w:t>
            </w:r>
          </w:p>
        </w:tc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Причинный инструментарий метода разности разностей не был перенесён на зависимую переменную, отражающую структурную трансформацию (раздел 1.5)</w:t>
            </w:r>
          </w:p>
        </w:tc>
        <w:tc>
          <w:tcPr>
            <w:tcW w:type="dxa" w:w="280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Применение непрерывной меры воздействия в quasi-экспериментальном дизайне при проверяемой предпосылке параллельных трендов</w:t>
            </w:r>
          </w:p>
        </w:tc>
        <w:tc>
          <w:tcPr>
            <w:tcW w:type="dxa" w:w="205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Continuous Difference-in-Differences</w:t>
            </w:r>
          </w:p>
        </w:tc>
      </w:tr>
      <w:tr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Проверка динамики и предпосылки идентификации</w:t>
            </w:r>
          </w:p>
        </w:tc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Ни одна из рассмотренных работ не проверяет лаговый характер трансформации БМ (раздел 1.2)</w:t>
            </w:r>
          </w:p>
        </w:tc>
        <w:tc>
          <w:tcPr>
            <w:tcW w:type="dxa" w:w="280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Построение динамического профиля эффекта по лидам и лагам относительно момента шока</w:t>
            </w:r>
          </w:p>
        </w:tc>
        <w:tc>
          <w:tcPr>
            <w:tcW w:type="dxa" w:w="205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Событийный анализ (event study)</w:t>
            </w:r>
          </w:p>
        </w:tc>
      </w:tr>
      <w:tr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Проверка нелинейности воздействия</w:t>
            </w:r>
          </w:p>
        </w:tc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Линейность зависимости постулируется, а не проверяется во всех рассмотренных работах (раздел 1.5)</w:t>
            </w:r>
          </w:p>
        </w:tc>
        <w:tc>
          <w:tcPr>
            <w:tcW w:type="dxa" w:w="280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Эндогенная оценка критического уровня санкционного давления</w:t>
            </w:r>
          </w:p>
        </w:tc>
        <w:tc>
          <w:tcPr>
            <w:tcW w:type="dxa" w:w="205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Пороговая регрессия (threshold model)</w:t>
            </w:r>
          </w:p>
        </w:tc>
      </w:tr>
      <w:tr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Проверка устойчивости результатов</w:t>
            </w:r>
          </w:p>
        </w:tc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 установлена чувствительность выводов о трансформации БМ к способу измерения ключевых конструкций</w:t>
            </w:r>
          </w:p>
        </w:tc>
        <w:tc>
          <w:tcPr>
            <w:tcW w:type="dxa" w:w="280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Систематическое варьирование способов агрегирования, состава выборки и спецификации модели</w:t>
            </w:r>
          </w:p>
        </w:tc>
        <w:tc>
          <w:tcPr>
            <w:tcW w:type="dxa" w:w="205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Alternative indices / sensitivity analysis</w:t>
            </w:r>
          </w:p>
        </w:tc>
      </w:tr>
      <w:tr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Учёт выбывания компаний из выборки</w:t>
            </w:r>
          </w:p>
        </w:tc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Возможность ухода компании с рынка вследствие шока не учитывается в рассмотренной литературе (раздел 1.4)</w:t>
            </w:r>
          </w:p>
        </w:tc>
        <w:tc>
          <w:tcPr>
            <w:tcW w:type="dxa" w:w="280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Раздельное моделирование вероятности выбывания и альтернативная бинарная операционализация исхода</w:t>
            </w:r>
          </w:p>
        </w:tc>
        <w:tc>
          <w:tcPr>
            <w:tcW w:type="dxa" w:w="205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Logit/Probit модель выбывания</w:t>
            </w:r>
          </w:p>
        </w:tc>
      </w:tr>
      <w:tr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Построение контрфактической траектории для отдельного кейса</w:t>
            </w:r>
          </w:p>
        </w:tc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Классический синтетический контроль требует донорского пула, не подверженного общему шоку, отсутствующего при страновом санкционном режиме (раздел 1.5)</w:t>
            </w:r>
          </w:p>
        </w:tc>
        <w:tc>
          <w:tcPr>
            <w:tcW w:type="dxa" w:w="280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Комбинирование взвешивания доноров с временны́ми фиксированными эффектами</w:t>
            </w:r>
          </w:p>
        </w:tc>
        <w:tc>
          <w:tcPr>
            <w:tcW w:type="dxa" w:w="205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Synthetic Difference-in-Differences</w:t>
            </w:r>
          </w:p>
        </w:tc>
      </w:tr>
    </w:tbl>
    <w:p>
      <w:pPr>
        <w:spacing w:after="240" w:before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Источник: составлено автором.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Совокупность инструментов, представленных в таблице 1.3, образует не случайный набор, а последовательную архитектуру: на входе методики — санкционный шок и предшоковые характеристики компании; они преобразуются в измеримую величину интенсивности потенциального воздействия (ИСЭК); теоретический механизм перехода от воздействия к структурному отклику задаётся динамическими способностями фирмы (раздел 1.2); результат данного перехода фиксируется индексом трансформации бизнес-модели (ИТБМ); связь между интенсивностью воздействия и результатом оценивается панельной моделью с фиксированными эффектами и идентифицируется причинно методом разности разностей; динамика эффекта во времени и предпосылка идентификации диагностируются событийным анализом; неоднородность и нелинейность воздействия проверяются через взаимодействия и пороговую регрессию; наконец, устойчивость всей совокупности выводов проверяется системой альтернативных спецификаций, включая синтетическую разность разностей и модели выбывания. Каждый последующий элемент данной архитектуры отвечает на вопрос, оставленный без ответа предшествующим, а не дублирует его функцию, что и отличает архитектуру как систему от простого перечня применимых методов.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Необходимо при этом провести чёткое разграничение между тем, что заимствуется из существующего научного аппарата, и тем, что составляет собственно предмет разработки в настоящей диссертации. Канва бизнес-модели, метод главных компонент, панельная регрессия с фиксированными эффектами, метод разности разностей, событийный анализ, пороговая регрессия Хансена и метод синтетического контроля — существующие, самостоятельно разработанные другими авторами теоретические конструкции и статистические методы; их использование в настоящем исследовании не составляет научной новизны само по себе. Научный вклад диссертации, потенциальный характер которого подлежит дальнейшему уточнению по результатам выполнения работы, состоит не в изобретении данных методов, а в ином: в содержательном обосновании и формировании конструкта санкционной экспозиции именно как предсанкционной, многокомпонентной характеристики фирмы; в операционализации трансформации бизнес-модели через систему из девяти структурных блоков, извлекаемых из публичной отчётности; в формализации причинной цепочки, связывающей данные два конструкта через механизм динамических способностей; в идентификационной стратегии, адаптированной к специфике санкционного шока как объекта анализа; в последовательной интеграции перечисленных в таблице 1.3 методов в единую, а не изолированную друг от друга архитектуру; и в системе проверок устойчивости, специально сконструированной для угроз идентификации, установленных как специфичные именно для данной исследовательской задачи (в частности, для проблемы co-treatment потенциальных доноров при страновом характере шока). Данная граница между заимствованным инструментарием и собственно авторской разработкой последовательно выдерживается на протяжении всей диссертации.</w:t>
      </w:r>
    </w:p>
    <w:p>
      <w:pPr>
        <w:pStyle w:val="Heading2"/>
        <w:spacing w:after="20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Выводы по главе 1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Проведённый в первой главе анализ позволяет сформулировать шесть содержательных выводов.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Первое. Тема диссертации, начинающаяся со слова «разработка», определяет её научный результат как создание воспроизводимой методики, а не как констатацию величины эмпирического эффекта; соответственно переопределены цель исследования, включающая явное указание на разработку методики, объект — процессы трансформации бизнес-моделей IT-компаний под влиянием санкционных ограничений, — и предмет — причинная зависимость между интенсивностью санкционной экспозиции и трансформацией бизнес-модели вместе с инструментарием её измерения и оценки.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Второе. Последовательная проверка трёх уровней анализа санкционного воздействия — макроэкономического, отраслевого и фирменного — показала, что ни один из них не даёт готового решения задачи измерения трансформации бизнес-модели: макро- и отраслевой уровни не фиксируют внутрифирменную неоднородность, тогда как фирменный уровень, обладая методологически пригодным эконометрическим инструментарием, применяет его к финансовым, а не структурным показателям.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Третье. Сопоставление пяти теорий адаптации компаний к внешним шокам показало, что теория динамических способностей единственная среди них напрямую связывает механизм адаптации (seizing) с реконфигурацией именно бизнес-модели, что обосновывает её выбор в качестве основной теоретической рамки; одновременно установлено, что данная теория задаёт теоретический механизм, но не процедуру измерения, что требует обращения к самостоятельному массиву литературы об операционализации бизнес-модели.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Четвёртое. Критический анализ семи подходов к измерению трансформации бизнес-модели — от качественных кейс-исследований до валидированных опросных шкал — показал, что ни один из них не удовлетворяет одновременно требованиям строгости измерения, широты содержательного охвата и применимости к панельным вторичным данным, необходимым для последующей причинной эконометрической оценки.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Пятое. IT-отрасль обоснована как содержательно значимый объект апробации ввиду многоканальной природы санкционного воздействия на неё и наблюдаемой неоднородности реакции компаний, а российский контекст — ввиду последовательности двух исторически различных санкционных эпизодов 2014 и 2022 гг., сопровождавшихся качественно различным государственным ответом, что образует дополнительный методологический вызов, учитываемый при разработке методики.</w:t>
      </w:r>
    </w:p>
    <w:p>
      <w:pPr>
        <w:spacing w:after="16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Шестое. Систематический обзор литературы позволил установить не разрозненные, а системно связанные дефициты, одновременно относящиеся к измерению санкционного воздействия, измерению трансформации бизнес-модели, причинной идентификации связи между ними и проверке устойчивости результатов. Устранение подобного многосоставного дефицита в принципе не может быть достигнуто выбором одного дополнительного метода или показателя — оно требует последовательной системы взаимосвязанных методологических решений, сформулированных в настоящей главе в виде девяти требований и архитектуры из девяти взаимосвязанных инструментов (таблица 1.3). Именно данная система и составляет предмет разработки, осуществляемой в третьей главе диссертации, где каждый элемент представленной архитектуры получает полную формализацию — от математической спецификации индексов ИСЭК и ИТБМ до формул панельной модели, метода разности разностей, событийного анализа, пороговой регрессии и системы проверок устойчивости, — тогда как четвёртая глава применяет разработанную методику к панельным данным российских IT-компаний, включая апробацию на конкретном кейсе.</w:t>
      </w:r>
    </w:p>
    <w:p>
      <w:pPr>
        <w:pStyle w:val="Heading2"/>
        <w:spacing w:after="20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использованных источников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Ahn D. P., Ludema R. D. The sword and the shield: the economics of targeted sanctions // European Economic Review. 2020. Vol. 130. Art. 103587. DOI: 10.1016/j.euroecorev.2020.103587.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Barney J. Firm resources and sustained competitive advantage // Journal of Management. 1991. Vol. 17. No. 1. P. 99–120. DOI: 10.1177/014920639101700108.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Besedeš T., Goldbach S., Nitsch V. Cheap talk? Financial sanctions and non-financial firms // European Economic Review. 2021. Vol. 134. Art. 103688. DOI: 10.1016/j.euroecorev.2021.103688.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Casadesus-Masanell R., Ricart J. E. From strategy to business models and onto tactics // Long Range Planning. 2010. Vol. 43. No. 2–3. P. 195–215. DOI: 10.1016/j.lrp.2010.01.004.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Clauss T. Measuring business model innovation: conceptualization, scale development, and proof of performance // R&amp;D Management. 2017. Vol. 47. No. 3. P. 385–403. DOI: 10.1111/radm.12186.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Cohen W. M., Levinthal D. A. Absorptive capacity: a new perspective on learning and innovation // Administrative Science Quarterly. 1990. Vol. 35. No. 1. P. 128–152. DOI: 10.2307/2393553.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Crozet M., Hinz J. Friendly fire: the trade impact of the Russia sanctions and counter-sanctions // Economic Policy. 2020. Vol. 35. No. 101. P. 97–146. DOI: 10.1093/epolic/eiaa006.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Dejardin M., Raposo M. L., Ferreira J. J. M., Fernandes C. I., Veiga P. M., Farinha L. The impact of dynamic capabilities on SME performance during COVID-19 // Review of Managerial Science. 2022. Vol. 17. No. 5. P. 1703–1729. DOI: 10.1007/s11846-022-00569-x.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Dobrynina P., Grishunin S. The impact of sanctions on the financial performance and creditworthiness of Russian non-financial companies // Procedia Computer Science. 2025. Vol. 266.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Duchek S. Organizational resilience: a capability-based conceptualization // Business Research. 2020. Vol. 13. No. 1. P. 215–246. DOI: 10.1007/s40685-019-0085-7.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Felbermayr G., Kirilakha A., Syropoulos C., Yalcin E., Yotov Y. V. The global sanctions data base // European Economic Review. 2020. Vol. 129. Art. 103561. DOI: 10.1016/j.euroecorev.2020.103561.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Foss N. J., Saebi T. Fifteen years of research on business model innovation: how far have we come, and where should we go? // Journal of Management. 2017. Vol. 43. No. 1. P. 200–227. DOI: 10.1177/0149206316675927.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Hufbauer G. C., Schott J. J., Elliott K. A., Oegg B. Economic Sanctions Reconsidered. 3rd ed. Washington, DC: Peterson Institute for International Economics, 2007. 233 p.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Huynh L. D. T., Hoang K., Ongena S. The Impact of Foreign Sanctions on Firm Performance in Russia. CEPR Discussion Paper No. 17415. London: Centre for Economic Policy Research, 2022.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Kuzyk M. G., Simachev Yu. V. Strategies of Russian companies to adapt to the 2022 sanctions // Journal of the New Economic Association. 2023. No. 3. P. 172–180. DOI: 10.31737/22212264_2023_3_172-180.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Lee H.-S., Kumo K. The impact of sanctions on firms' financial performance in Russia // Eurasian Business Review. 2025. DOI: 10.1007/s40821-025-00337-3.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Lin X., Zhang P., Yang Z., Chen S. US sanctions and corporate innovation: evidence from Chinese listed firms // International Review of Economics &amp; Finance. 2025. Vol. 98. Art. 103935. DOI: 10.1016/j.iref.2025.103935.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Loughran T., McDonald B. When is a liability not a liability? Textual analysis, dictionaries, and 10-Ks // Journal of Finance. 2011. Vol. 66. No. 1. P. 35–65. DOI: 10.1111/j.1540-6261.2010.01625.x.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Neuenkirch M., Neumeier F. The impact of UN and US economic sanctions on GDP growth // European Journal of Political Economy. 2015. Vol. 40. Part A. P. 110–125. DOI: 10.1016/j.ejpoleco.2015.09.001.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Osterwalder A., Pigneur Y. Business Model Generation: A Handbook for Visionaries, Game Changers, and Challengers. Hoboken, NJ: John Wiley &amp; Sons, 2010. 288 p.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Peñarroya-Farell M., Miralles F. Business model adaptation to the COVID-19 crisis: strategic response of the Spanish cultural and creative firms // Journal of Open Innovation: Technology, Market, and Complexity. 2022. Vol. 8. No. 1. Art. 39. DOI: 10.3390/joitmc8010039.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Radic M., Herrmann P., Haberland P., Riese C. R. Development of a business model resilience framework for managers and strategic decision-makers // Schmalenbach Journal of Business Research. 2022. Vol. 74. No. 4. P. 575–601. DOI: 10.1007/s41471-022-00135-x.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Sahebalzamani S., Jørgensen E. J. B., Bertella G., Nilsen E. R. A dynamic capabilities approach to business model innovation in times of crisis // Tourism Planning &amp; Development. 2022. Vol. 20. P. 138–161. DOI: 10.1080/21568316.2022.2107560.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Sanchez R. Strategic flexibility in product competition // Strategic Management Journal. 1995. Vol. 16. Special Issue. P. 135–159. DOI: 10.1002/smj.4250160921.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Teece D. J. Explicating dynamic capabilities: the nature and microfoundations of (sustainable) enterprise performance // Strategic Management Journal. 2007. Vol. 28. No. 13. P. 1319–1350. DOI: 10.1002/smj.640.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Teece D. J. Business models, business strategy and innovation // Long Range Planning. 2010. Vol. 43. No. 2–3. P. 172–194. DOI: 10.1016/j.lrp.2009.07.003.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Teece D. J., Pisano G., Shuen A. Dynamic capabilities and strategic management // Strategic Management Journal. 1997. Vol. 18. No. 7. P. 509–533. DOI: 10.1002/(SICI)1097-0266(199708)18:7&lt;509::AID-SMJ882&gt;3.0.CO;2-Z.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Wernerfelt B. A resource-based view of the firm // Strategic Management Journal. 1984. Vol. 5. No. 2. P. 171–180. DOI: 10.1002/smj.4250050207.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Yalcin E., Felbermayr G., Kariem H., Kirilakha A., Kwon O., Syropoulos C., Yotov Y. V. The Global Sanctions Data Base — Release 4: the heterogeneous effects of the sanctions on Russia // The World Economy. 2025. Vol. 48. No. 9. P. 2003–2017. DOI: 10.1111/twec.13732.</w:t>
      </w:r>
    </w:p>
    <w:p>
      <w:pPr>
        <w:spacing w:after="140" w:line="276" w:lineRule="auto"/>
        <w:ind w:left="480" w:hanging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Zott C., Amit R., Massa L. The business model: recent developments and future research // Journal of Management. 2011. Vol. 37. No. 4. P. 1019–1042. DOI: 10.1177/0149206311406265.</w:t>
      </w: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Глава 1. Теоретические основы и исследовательская проблема эконометрической оценки влияния санкционных шоков на трансформацию бизнес-модели IT-компаний</dc:title>
  <dc:creator>Автор диссертационного исследования</dc:creator>
  <cp:lastModifiedBy>Un-named</cp:lastModifiedBy>
  <cp:revision>1</cp:revision>
  <dcterms:created xsi:type="dcterms:W3CDTF">2026-09-03T20:07:54.126Z</dcterms:created>
  <dcterms:modified xsi:type="dcterms:W3CDTF">2026-09-03T20:07:54.135Z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