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240" w:line="360" w:lineRule="auto"/>
        <w:jc w:val="center"/>
      </w:pPr>
      <w:r>
        <w:rPr>
          <w:rFonts w:ascii="Times New Roman" w:cs="Times New Roman" w:eastAsia="Times New Roman" w:hAnsi="Times New Roman"/>
          <w:b/>
          <w:bCs/>
          <w:sz w:val="32"/>
          <w:szCs w:val="32"/>
        </w:rPr>
        <w:t xml:space="preserve">ГЛАВА 1. ТЕОРЕТИЧЕСКИЕ ОСНОВЫ И ИССЛЕДОВАТЕЛЬСКАЯ ПРОБЛЕМА ЭКОНОМЕТРИЧЕСКОЙ ОЦЕНКИ ВЛИЯНИЯ САНКЦИОННЫХ ШОКОВ НА ТРАНСФОРМАЦИЮ БИЗНЕС-МОДЕЛИ IT-КОМПАНИЙ</w:t>
      </w:r>
    </w:p>
    <w:p>
      <w:pPr>
        <w:pStyle w:val="Heading2"/>
        <w:spacing w:after="200" w:before="360" w:line="360" w:lineRule="auto"/>
        <w:jc w:val="left"/>
      </w:pPr>
      <w:r>
        <w:rPr>
          <w:rFonts w:ascii="Times New Roman" w:cs="Times New Roman" w:eastAsia="Times New Roman" w:hAnsi="Times New Roman"/>
          <w:b/>
          <w:bCs/>
          <w:sz w:val="28"/>
          <w:szCs w:val="28"/>
        </w:rPr>
        <w:t xml:space="preserve">1.1. Объект и предмет исследования</w:t>
      </w:r>
    </w:p>
    <w:p>
      <w:pPr>
        <w:spacing w:after="160" w:before="0" w:line="360" w:lineRule="auto"/>
        <w:ind w:firstLine="709"/>
        <w:jc w:val="both"/>
      </w:pPr>
      <w:r>
        <w:rPr>
          <w:rFonts w:ascii="Times New Roman" w:cs="Times New Roman" w:eastAsia="Times New Roman" w:hAnsi="Times New Roman"/>
          <w:sz w:val="28"/>
          <w:szCs w:val="28"/>
        </w:rPr>
        <w:t xml:space="preserve">Определение объекта и предмета настоящего исследования требует сопоставления предварительной содержательной формулировки с логикой заявленной темы, с ранее разработанной эконометрической методикой измерения и оценки причинного эффекта и с теоретической рамкой, объясняющей механизм адаптации фирмы к внешнему шоку. Такое сопоставление показывает, что объект исследования не может быть ограничен процессами трансформации бизнес-моделей компаний под воздействием внешних экономических шоков в широком смысле: подобная формулировка охватывала бы шоки любой природы — технологические, конъюнктурные, регуляторные, — тогда как заявленная тема и вся последующая эмпирическая архитектура работы центрированы на шоке специфической, юридически оформленной природы, а именно на санкционных ограничениях, введённых в отношении Российской Федерации начиная с 2014 г. и приобретших качественно иной масштаб с 2022 г.</w:t>
      </w:r>
    </w:p>
    <w:p>
      <w:pPr>
        <w:spacing w:after="160" w:before="0" w:line="360" w:lineRule="auto"/>
        <w:ind w:firstLine="709"/>
        <w:jc w:val="both"/>
      </w:pPr>
      <w:r>
        <w:rPr>
          <w:rFonts w:ascii="Times New Roman" w:cs="Times New Roman" w:eastAsia="Times New Roman" w:hAnsi="Times New Roman"/>
          <w:sz w:val="28"/>
          <w:szCs w:val="28"/>
        </w:rPr>
        <w:t xml:space="preserve">Объектом исследования выступают процессы трансформации бизнес-моделей компаний российской IT-отрасли, происходящие под влиянием санкционных ограничений, введённых иностранными государствами и их объединениями в отношении Российской Федерации. Данная формулировка непосредственно соответствует зависимой переменной ранее разработанной эконометрической методики — индексу трансформации бизнес-модели, операционализированному через изменение девяти структурных блоков бизнес-модели компании, — и охватывает как сам процесс структурной адаптации, так и его результат, наблюдаемый в панельных данных за 2019–2024 гг.</w:t>
      </w:r>
    </w:p>
    <w:p>
      <w:pPr>
        <w:spacing w:after="160" w:before="0" w:line="360" w:lineRule="auto"/>
        <w:ind w:firstLine="709"/>
        <w:jc w:val="both"/>
      </w:pPr>
      <w:r>
        <w:rPr>
          <w:rFonts w:ascii="Times New Roman" w:cs="Times New Roman" w:eastAsia="Times New Roman" w:hAnsi="Times New Roman"/>
          <w:sz w:val="28"/>
          <w:szCs w:val="28"/>
        </w:rPr>
        <w:t xml:space="preserve">Предмет исследования уже объекта и отражает не процесс трансформации как таковой, а конкретную экономическую взаимосвязь, устанавливаемую и измеряемую в границах данной работы: причинную зависимость между интенсивностью санкционной экспозиции отдельной компании и масштабом наблюдаемой трансформации её бизнес-модели, а также совокупность экономико-статистических показателей, эконометрических моделей и процедур идентификации причинного эффекта, посредством которых данная зависимость может быть измерена и проверена. Если объект отвечает на вопрос о том, какое экономическое явление изучается, то предмет отвечает на вопрос о том, какая именно связь внутри этого явления составляет содержание научного анализа: не трансформация бизнес-модели во всей полноте её проявлений, а зависимость между заранее заданной, дифференцированной по фирмам характеристикой — интенсивностью санкционной экспозиции — и заранее операционализированным откликом — индексом трансформации бизнес-модели. Данное разграничение прямо соответствует структуре ранее разработанной методики, в которой ключевая объясняющая переменная (индекс санкционной экспозиции компании) и зависимая переменная (индекс трансформации бизнес-модели) образуют предмет эконометрического анализа, тогда как объектом остаётся более широкое экономическое явление, наблюдаемым отражением которого эти переменные являются.</w:t>
      </w:r>
    </w:p>
    <w:p>
      <w:pPr>
        <w:spacing w:after="160" w:before="0" w:line="360" w:lineRule="auto"/>
        <w:ind w:firstLine="709"/>
        <w:jc w:val="both"/>
      </w:pPr>
      <w:r>
        <w:rPr>
          <w:rFonts w:ascii="Times New Roman" w:cs="Times New Roman" w:eastAsia="Times New Roman" w:hAnsi="Times New Roman"/>
          <w:sz w:val="28"/>
          <w:szCs w:val="28"/>
        </w:rPr>
        <w:t xml:space="preserve">Взаимосвязь объекта и предмета носит, таким образом, характер отношения явления и его измеримого механизма: объект задаёт эмпирическое поле — компании российской IT-отрасли и происходящие с ними структурные изменения, — тогда как предмет задаёт аналитический разрез этого поля, необходимый для получения научно обоснованного, статистически проверяемого ответа на вопрос об источниках и характере наблюдаемой неоднородности трансформации. Данное разграничение определяет структуру всей первой главы: последовательное движение от общего экономического явления — трансформации компаний в условиях внешнего шока — к его конкретному, операционализируемому предмету — причинной зависимости между экспозицией и трансформацией — составляет содержательную логику последующего изложения.</w:t>
      </w:r>
    </w:p>
    <w:p>
      <w:pPr>
        <w:pStyle w:val="Heading2"/>
        <w:spacing w:after="200" w:before="360" w:line="360" w:lineRule="auto"/>
        <w:jc w:val="left"/>
      </w:pPr>
      <w:r>
        <w:rPr>
          <w:rFonts w:ascii="Times New Roman" w:cs="Times New Roman" w:eastAsia="Times New Roman" w:hAnsi="Times New Roman"/>
          <w:b/>
          <w:bCs/>
          <w:sz w:val="28"/>
          <w:szCs w:val="28"/>
        </w:rPr>
        <w:t xml:space="preserve">1.2. Понятийный аппарат исследования: санкции, санкционный шок и санкционная экспозиция</w:t>
      </w:r>
    </w:p>
    <w:p>
      <w:pPr>
        <w:pStyle w:val="Heading3"/>
        <w:spacing w:after="160" w:before="260" w:line="360" w:lineRule="auto"/>
        <w:jc w:val="left"/>
      </w:pPr>
      <w:r>
        <w:rPr>
          <w:rFonts w:ascii="Times New Roman" w:cs="Times New Roman" w:eastAsia="Times New Roman" w:hAnsi="Times New Roman"/>
          <w:b/>
          <w:bCs/>
          <w:i/>
          <w:iCs/>
          <w:sz w:val="26"/>
          <w:szCs w:val="26"/>
        </w:rPr>
        <w:t xml:space="preserve">1.2.1. Санкции как категория экономического анализа</w:t>
      </w:r>
    </w:p>
    <w:p>
      <w:pPr>
        <w:spacing w:after="160" w:before="0" w:line="360" w:lineRule="auto"/>
        <w:ind w:firstLine="709"/>
        <w:jc w:val="both"/>
      </w:pPr>
      <w:r>
        <w:rPr>
          <w:rFonts w:ascii="Times New Roman" w:cs="Times New Roman" w:eastAsia="Times New Roman" w:hAnsi="Times New Roman"/>
          <w:sz w:val="28"/>
          <w:szCs w:val="28"/>
        </w:rPr>
        <w:t xml:space="preserve">Понятие санкций в экономической литературе не имеет единого общепризнанного определения, что отражает многообразие форм, целей и механизмов реализации данного инструмента внешней политики. Хафбауэр, Шотт, Эллиотт и Оегг, проанализировавшие 204 санкционных эпизода начиная с 1914 г., определяют экономические санкции как преднамеренное, инициированное правительством или группой правительств прекращение либо угрозу прекращения обычных торговых или финансовых отношений с целью склонить объект санкций к изменению политического поведения (Hufbauer, Schott, Elliott, Oegg, 2007). Данное определение является преимущественно инструментальным: оно акцентирует внешнеполитическую цель санкций, оставляя на периферии вопрос об экономическом механизме их воздействия на конкретных хозяйствующих субъектов.</w:t>
      </w:r>
    </w:p>
    <w:p>
      <w:pPr>
        <w:spacing w:after="160" w:before="0" w:line="360" w:lineRule="auto"/>
        <w:ind w:firstLine="709"/>
        <w:jc w:val="both"/>
      </w:pPr>
      <w:r>
        <w:rPr>
          <w:rFonts w:ascii="Times New Roman" w:cs="Times New Roman" w:eastAsia="Times New Roman" w:hAnsi="Times New Roman"/>
          <w:sz w:val="28"/>
          <w:szCs w:val="28"/>
        </w:rPr>
        <w:t xml:space="preserve">Альтернативный акцент представлен в работах, систематизирующих санкции по типу применяемого ограничения. Фельбермайр с соавторами, создавшие наиболее полную базу данных по санкционным режимам — Global Sanctions Data Base, — классифицируют санкции по инструментальному признаку: торговые ограничения (эмбарго, тарифные и нетарифные барьеры), финансовые ограничения (заморозка активов, ограничение доступа к рынкам капитала), санкции, направленные против конкретных физических и юридических лиц, а также военные и дипломатические санкции (Felbermayr, Kirilakha, Syropoulos, Yalcin, Yotov, 2020). Данная типология методологически ценна тем, что переводит понятие санкций из категории единого недифференцированного инструмента в категорию составного воздействия, элементы которого способны затрагивать различные стороны хозяйственной деятельности фирмы неодинаково, — что впоследствии, в четвёртом издании базы данных, было прямо подтверждено эмпирически применительно к неоднородности эффектов санкционного режима против России (Yalcin, Felbermayr, Kariem, Kirilakha, Kwon, Syropoulos, Yotov, 2025).</w:t>
      </w:r>
    </w:p>
    <w:p>
      <w:pPr>
        <w:spacing w:after="160" w:before="0" w:line="360" w:lineRule="auto"/>
        <w:ind w:firstLine="709"/>
        <w:jc w:val="both"/>
      </w:pPr>
      <w:r>
        <w:rPr>
          <w:rFonts w:ascii="Times New Roman" w:cs="Times New Roman" w:eastAsia="Times New Roman" w:hAnsi="Times New Roman"/>
          <w:sz w:val="28"/>
          <w:szCs w:val="28"/>
        </w:rPr>
        <w:t xml:space="preserve">Оба рассмотренных подхода объединяет то, что их единицей анализа выступает санкционный режим как таковой — совокупность мер, применяемых страной-инициатором к стране-объекту, — а не отдельная фирма, на которую данный режим воздействует. Для целей настоящего исследования, сфокусированного на компании как единице анализа, подобной макроориентированной трактовки санкций недостаточно: требуется определение, связывающее санкционный режим страны с изменением условий хозяйственной деятельности конкретной фирмы. Рабочее определение, принимаемое в настоящей работе, формулируется следующим образом: санкции представляют собой совокупность вводимых иностранными государствами и их объединениями торговых, финансовых и технологических ограничений, дифференцированно затрагивающих доступ отдельных компаний страны-объекта к внешним рынкам, источникам финансирования и технологическим ресурсам. Данное определение сохраняет типологическую структуру Фельбермайра с соавторами, но переносит акцент с режима как целого на его дифференцированное воздействие на отдельных экономических агентов — перенос, необходимый для перехода от макроэкономического к фирменному уровню анализа, обосновываемого в разделе 1.6.</w:t>
      </w:r>
    </w:p>
    <w:p>
      <w:pPr>
        <w:pStyle w:val="Heading3"/>
        <w:spacing w:after="160" w:before="260" w:line="360" w:lineRule="auto"/>
        <w:jc w:val="left"/>
      </w:pPr>
      <w:r>
        <w:rPr>
          <w:rFonts w:ascii="Times New Roman" w:cs="Times New Roman" w:eastAsia="Times New Roman" w:hAnsi="Times New Roman"/>
          <w:b/>
          <w:bCs/>
          <w:i/>
          <w:iCs/>
          <w:sz w:val="26"/>
          <w:szCs w:val="26"/>
        </w:rPr>
        <w:t xml:space="preserve">1.2.2. Санкционный шок и санкционная экспозиция компании</w:t>
      </w:r>
    </w:p>
    <w:p>
      <w:pPr>
        <w:spacing w:after="160" w:before="0" w:line="360" w:lineRule="auto"/>
        <w:ind w:firstLine="709"/>
        <w:jc w:val="both"/>
      </w:pPr>
      <w:r>
        <w:rPr>
          <w:rFonts w:ascii="Times New Roman" w:cs="Times New Roman" w:eastAsia="Times New Roman" w:hAnsi="Times New Roman"/>
          <w:sz w:val="28"/>
          <w:szCs w:val="28"/>
        </w:rPr>
        <w:t xml:space="preserve">Понятие санкционного шока требует отдельного определения, отличного от понятия санкций как таковых. Санкции — это действие, предпринимаемое государством-инициатором; санкционный шок — это следствие данного действия для конкретного хозяйствующего субъекта, выражающееся в резком и экзогенном по отношению к его собственным решениям изменении условий доступа к ресурсам, рынкам и финансированию. Различие принципиально важно методологически: санкции как макрособытие одинаковы для всех компаний страны-объекта в данный момент времени и потому не могут выступать объясняющей переменной на уровне отдельной фирмы, тогда как санкционный шок дифференцирован по компаниям в зависимости от их исходной интеграции в затрагиваемые контуры — технологический, рыночный, финансовый — и именно эта дифференциация образует содержательную основу эмпирического анализа.</w:t>
      </w:r>
    </w:p>
    <w:p>
      <w:pPr>
        <w:spacing w:after="160" w:before="0" w:line="360" w:lineRule="auto"/>
        <w:ind w:firstLine="709"/>
        <w:jc w:val="both"/>
      </w:pPr>
      <w:r>
        <w:rPr>
          <w:rFonts w:ascii="Times New Roman" w:cs="Times New Roman" w:eastAsia="Times New Roman" w:hAnsi="Times New Roman"/>
          <w:sz w:val="28"/>
          <w:szCs w:val="28"/>
        </w:rPr>
        <w:t xml:space="preserve">Санкционный шок в настоящем исследовании определяется как резкое, экзогенное для отдельной компании изменение доступности внешних технологических ресурсов, рынков сбыта и источников финансирования, наступающее вследствие введения санкционного режима и различающееся по интенсивности воздействия в зависимости от предшествовавшей шоку структуры связей компании с иностранными партнёрами, поставщиками, клиентами и инвесторами. Интенсивность данного воздействия применительно к конкретной фирме образует содержание понятия санкционной экспозиции компании — характеристики, отражающей степень предшоковой интеграции фирмы в затрагиваемые санкционным режимом контуры хозяйственной деятельности и, тем самым, потенциальный масштаб утраты доступа к ресурсам, рынкам и капиталу при наступлении шока.</w:t>
      </w:r>
    </w:p>
    <w:p>
      <w:pPr>
        <w:spacing w:after="160" w:before="0" w:line="360" w:lineRule="auto"/>
        <w:ind w:firstLine="709"/>
        <w:jc w:val="both"/>
      </w:pPr>
      <w:r>
        <w:rPr>
          <w:rFonts w:ascii="Times New Roman" w:cs="Times New Roman" w:eastAsia="Times New Roman" w:hAnsi="Times New Roman"/>
          <w:sz w:val="28"/>
          <w:szCs w:val="28"/>
        </w:rPr>
        <w:t xml:space="preserve">Понятие санкционной экспозиции на уровне фирмы содержательно родственно, но не тождественно понятию экспозиции к торговому шоку, используемому в работах, конструирующих меры воздействия агрегированного шока на отдельные единицы наблюдения через их предшоковую структурную характеристику — подход, получивший систематическое обоснование в литературе об инструментах типа «shift-share» (Goldsmith-Pinkham, Sorkin, Swift, 2020) и применённый непосредственно к анализу торговых последствий санкций против России на уровне отдельных товарных позиций и партнёров (Crozet, Hinz, 2020). Отличие настоящего понятия состоит в единице наблюдения: если в цитируемых работах экспозиция конструируется на уровне страны, региона или товарной группы, санкционная экспозиция компании относится к отдельной фирме и агрегирует не одно, а несколько измерений её предшоковой интеграции в затрагиваемые контуры — технологическое, рыночное и финансовое, — что отражает многокомпонентную природу самого понятия санкций, установленную в разделе 1.2.1.</w:t>
      </w:r>
    </w:p>
    <w:p>
      <w:pPr>
        <w:spacing w:after="160" w:before="0" w:line="360" w:lineRule="auto"/>
        <w:ind w:firstLine="709"/>
        <w:jc w:val="both"/>
      </w:pPr>
      <w:r>
        <w:rPr>
          <w:rFonts w:ascii="Times New Roman" w:cs="Times New Roman" w:eastAsia="Times New Roman" w:hAnsi="Times New Roman"/>
          <w:sz w:val="28"/>
          <w:szCs w:val="28"/>
        </w:rPr>
        <w:t xml:space="preserve">Принципиальным для последующей эмпирической реализации является момент, в который данная характеристика фиксируется. Если санкционная экспозиция измеряется одновременно с наблюдаемым откликом фирмы — то есть по данным, относящимся к периоду уже произошедшего воздействия шока, — показатель утрачивает содержание независимой характеристики и превращается в частичное отражение уже состоявшейся адаптации, что делает его непригодным для причинного анализа. Соответственно, в настоящем исследовании санкционная экспозиция компании трактуется как предопределённая (predetermined), зафиксированная до наступления шока характеристика фирмы — методологическое решение, содержательно обосновываемое здесь на понятийном уровне и операционализируемое в третьей главе диссертации через построение индекса санкционной экспозиции по данным, относящимся исключительно к периоду, предшествующему 2022 г.</w:t>
      </w:r>
    </w:p>
    <w:p>
      <w:pPr>
        <w:spacing w:after="160" w:before="0" w:line="360" w:lineRule="auto"/>
        <w:ind w:firstLine="709"/>
        <w:jc w:val="both"/>
      </w:pPr>
      <w:r>
        <w:rPr>
          <w:rFonts w:ascii="Times New Roman" w:cs="Times New Roman" w:eastAsia="Times New Roman" w:hAnsi="Times New Roman"/>
          <w:sz w:val="28"/>
          <w:szCs w:val="28"/>
        </w:rPr>
        <w:t xml:space="preserve">Из сопоставления рассмотренных определений следует, что понятийная триада «санкции — санкционный шок — санкционная экспозиция» описывает последовательность перехода от макроэкономического события к его дифференцированному, измеримому на уровне отдельной фирмы отражению. Именно эта последовательность образует понятийную основу перехода от традиционного для литературы о санкциях макроэкономического анализа к анализу на уровне фирмы, необходимость которого обосновывается в разделе 1.6.</w:t>
      </w:r>
    </w:p>
    <w:p>
      <w:pPr>
        <w:pStyle w:val="Heading3"/>
        <w:spacing w:after="160" w:before="260" w:line="360" w:lineRule="auto"/>
        <w:jc w:val="left"/>
      </w:pPr>
      <w:r>
        <w:rPr>
          <w:rFonts w:ascii="Times New Roman" w:cs="Times New Roman" w:eastAsia="Times New Roman" w:hAnsi="Times New Roman"/>
          <w:b/>
          <w:bCs/>
          <w:i/>
          <w:iCs/>
          <w:sz w:val="26"/>
          <w:szCs w:val="26"/>
        </w:rPr>
        <w:t xml:space="preserve">1.2.3. Бизнес-модель, трансформация бизнес-модели и адаптация компании: предварительные рабочие определения</w:t>
      </w:r>
    </w:p>
    <w:p>
      <w:pPr>
        <w:spacing w:after="160" w:before="0" w:line="360" w:lineRule="auto"/>
        <w:ind w:firstLine="709"/>
        <w:jc w:val="both"/>
      </w:pPr>
      <w:r>
        <w:rPr>
          <w:rFonts w:ascii="Times New Roman" w:cs="Times New Roman" w:eastAsia="Times New Roman" w:hAnsi="Times New Roman"/>
          <w:sz w:val="28"/>
          <w:szCs w:val="28"/>
        </w:rPr>
        <w:t xml:space="preserve">Три оставшихся понятия — бизнес-модель, трансформация бизнес-модели и адаптация компании — определяются здесь предварительно, в объёме, необходимом для последовательного изложения последующих разделов; их полное критическое рассмотрение, требующее сопоставления нескольких самостоятельных теоретических традиций, вынесено в разделы 1.3 и 1.5 соответственно, поскольку механическое совмещение определения с исчерпывающим обзором подходов в границах одного понятийного раздела нарушило бы связность изложения.</w:t>
      </w:r>
    </w:p>
    <w:p>
      <w:pPr>
        <w:spacing w:after="160" w:before="0" w:line="360" w:lineRule="auto"/>
        <w:ind w:firstLine="709"/>
        <w:jc w:val="both"/>
      </w:pPr>
      <w:r>
        <w:rPr>
          <w:rFonts w:ascii="Times New Roman" w:cs="Times New Roman" w:eastAsia="Times New Roman" w:hAnsi="Times New Roman"/>
          <w:sz w:val="28"/>
          <w:szCs w:val="28"/>
        </w:rPr>
        <w:t xml:space="preserve">Бизнес-модель компании предварительно понимается как логика создания, доставки и присвоения ценности, воплощённая в системе взаимозависимых структурных элементов, — определение, синтезирующее операциональную и системную традиции анализа данного конструкта, содержательное обоснование которого приведено в разделе 1.3. Трансформация бизнес-модели, соответственно, определяется как измеримое изменение конфигурации данной системы элементов, отличное по своей природе от изменения результативных финансовых показателей компании, — различие, обосновываемое в разделе 1.4. Адаптация компании понимается как процесс целенаправленного изменения ресурсной базы, организационных процессов и структурных элементов бизнес-модели фирмы в ответ на изменение внешней среды; теоретические основания данного процесса, включая вопрос о том, какая из конкурирующих теоретических традиций — динамические способности, ресурсный подход, организационная резильентность, стратегическая гибкость или абсорбционная способность — наиболее адекватно объясняет переход от санкционного шока к трансформации бизнес-модели, рассматриваются в разделе 1.5.</w:t>
      </w:r>
    </w:p>
    <w:p>
      <w:pPr>
        <w:pStyle w:val="Heading2"/>
        <w:spacing w:after="200" w:before="360" w:line="360" w:lineRule="auto"/>
        <w:jc w:val="left"/>
      </w:pPr>
      <w:r>
        <w:rPr>
          <w:rFonts w:ascii="Times New Roman" w:cs="Times New Roman" w:eastAsia="Times New Roman" w:hAnsi="Times New Roman"/>
          <w:b/>
          <w:bCs/>
          <w:sz w:val="28"/>
          <w:szCs w:val="28"/>
        </w:rPr>
        <w:t xml:space="preserve">1.3. Эволюция научных подходов к определению бизнес-модели</w:t>
      </w:r>
    </w:p>
    <w:p>
      <w:pPr>
        <w:spacing w:after="160" w:before="0" w:line="360" w:lineRule="auto"/>
        <w:ind w:firstLine="709"/>
        <w:jc w:val="both"/>
      </w:pPr>
      <w:r>
        <w:rPr>
          <w:rFonts w:ascii="Times New Roman" w:cs="Times New Roman" w:eastAsia="Times New Roman" w:hAnsi="Times New Roman"/>
          <w:sz w:val="28"/>
          <w:szCs w:val="28"/>
        </w:rPr>
        <w:t xml:space="preserve">Понятие бизнес-модели вошло в широкий научный оборот позднее большинства смежных категорий стратегического менеджмента, и его теоретическое содержание вплоть до настоящего времени остаётся предметом методологической дискуссии. Систематический обзор соответствующей литературы, охвативший более 150 рецензируемых публикаций за пятнадцатилетний период, констатирует отсутствие единого общепринятого определения при одновременном устойчивом росте числа исследований, использующих данный конструкт как самостоятельную единицу анализа (Foss, Saebi, 2017). Подобная понятийная неоднородность требует не простого перечисления определений, а последовательного прослеживания эволюции подходов и обоснованного выбора трактовки, пригодной для целей настоящего исследования.</w:t>
      </w:r>
    </w:p>
    <w:p>
      <w:pPr>
        <w:spacing w:after="160" w:before="0" w:line="360" w:lineRule="auto"/>
        <w:ind w:firstLine="709"/>
        <w:jc w:val="both"/>
      </w:pPr>
      <w:r>
        <w:rPr>
          <w:rFonts w:ascii="Times New Roman" w:cs="Times New Roman" w:eastAsia="Times New Roman" w:hAnsi="Times New Roman"/>
          <w:sz w:val="28"/>
          <w:szCs w:val="28"/>
        </w:rPr>
        <w:t xml:space="preserve">Первый из сложившихся подходов трактует бизнес-модель как логику создания, доставки и присвоения ценности организацией. Наиболее последовательное воплощение данный подход получил в работе Остервальдера и Пинье, определяющих бизнес-модель как описание логики того, каким образом организация создаёт, доставляет потребителям и присваивает себе ценность, и операционализирующих данную логику через девять структурных блоков — потребительские сегменты, ценностные предложения, каналы, взаимоотношения с клиентами, потоки доходов, ключевые ресурсы, ключевые виды деятельности, ключевые партнёрства и структуру издержек (Osterwalder, Pigneur, 2010). Существенным достоинством данного подхода с точки зрения задач настоящего исследования выступает его высокая операциональность: каждый из девяти блоков поддаётся, в принципе, самостоятельному наблюдению и измерению, что отличает данную трактовку от более абстрактных формулировок и образует необходимую предпосылку для количественной операционализации, требуемой эмпирической частью диссертации.</w:t>
      </w:r>
    </w:p>
    <w:p>
      <w:pPr>
        <w:spacing w:after="160" w:before="0" w:line="360" w:lineRule="auto"/>
        <w:ind w:firstLine="709"/>
        <w:jc w:val="both"/>
      </w:pPr>
      <w:r>
        <w:rPr>
          <w:rFonts w:ascii="Times New Roman" w:cs="Times New Roman" w:eastAsia="Times New Roman" w:hAnsi="Times New Roman"/>
          <w:sz w:val="28"/>
          <w:szCs w:val="28"/>
        </w:rPr>
        <w:t xml:space="preserve">Второй подход трактует бизнес-модель не как статичную логику, а как систему взаимозависимых видов деятельности, выходящую за пределы границ отдельной фирмы. Зотт, Амит и Масса определяют бизнес-модель как систему взаимозависимых видов деятельности, которая выходит за пределы фирмы и охватывает её внешние границы, подчёркивая, что бизнес-модель как единица анализа принципиально отлична от продукта, отрасли или отдельной фирмы (Zott, Amit, Massa, 2011). Данный подход методологически значим тем, что явно постулирует системность бизнес-модели: изменение одного элемента системы взаимодействий с высокой вероятностью сопряжено с изменениями в других её элементах, что образует теоретическое основание для трактовки трансформации бизнес-модели как составного, а не единичного феномена.</w:t>
      </w:r>
    </w:p>
    <w:p>
      <w:pPr>
        <w:spacing w:after="160" w:before="0" w:line="360" w:lineRule="auto"/>
        <w:ind w:firstLine="709"/>
        <w:jc w:val="both"/>
      </w:pPr>
      <w:r>
        <w:rPr>
          <w:rFonts w:ascii="Times New Roman" w:cs="Times New Roman" w:eastAsia="Times New Roman" w:hAnsi="Times New Roman"/>
          <w:sz w:val="28"/>
          <w:szCs w:val="28"/>
        </w:rPr>
        <w:t xml:space="preserve">Третий подход рассматривает бизнес-модель как отражение реализованной, а не декларируемой стратегии компании. Касадесус-Масанель и Рикарт разграничивают бизнес-модель как логику функционирования фирмы «как она есть» и стратегию как совокупность возможных альтернативных бизнес-моделей, из которых менеджмент осуществляет выбор в конкурентной среде, подчёркивая, что бизнес-модель — это отражение реализованной стратегии организации (Casadesus-Masanell, Ricart, 2010). Практическое значение данного подхода для настоящего исследования состоит в методологическом указании на источник данных: изучению подлежит то, что зафиксировано в финансовой отчётности и фактическом раскрытии информации компанией, а не то, что декларируется в стратегических презентациях или программных заявлениях менеджмента.</w:t>
      </w:r>
    </w:p>
    <w:p>
      <w:pPr>
        <w:spacing w:after="160" w:before="0" w:line="360" w:lineRule="auto"/>
        <w:ind w:firstLine="709"/>
        <w:jc w:val="both"/>
      </w:pPr>
      <w:r>
        <w:rPr>
          <w:rFonts w:ascii="Times New Roman" w:cs="Times New Roman" w:eastAsia="Times New Roman" w:hAnsi="Times New Roman"/>
          <w:sz w:val="28"/>
          <w:szCs w:val="28"/>
        </w:rPr>
        <w:t xml:space="preserve">Четвёртый подход, получивший развитие в наиболее близкой к задачам настоящего исследования традиции, трактует бизнес-модель как динамическую конфигурацию, способную и вынужденную изменяться под воздействием внешней среды. Тис связывает бизнес-модель с логикой, данными и свидетельствами, обосновывающими ценностное предложение для клиента и жизнеспособную структуру доходов и издержек фирмы, и напрямую увязывает способность к пересмотру данной логики со способностью компании к динамической адаптации (Teece, 2010). Данная традиция получила эмпирическое развитие в исследованиях адаптации бизнес-моделей к дискретным внешним шокам: анализ стратегической реакции испанских компаний креативных индустрий на пандемийный шок 2020 г. показал, что глубина и направление трансформации бизнес-модели существенно различались в зависимости от исходной гибкости ресурсной конфигурации фирмы (Peñarroya-Farell, Miralles, 2022), а разработка операционального фреймворка резильентности бизнес-модели для целей управленческого применения прямо связала способность бизнес-модели противостоять внешнему шоку со структурой её взаимозависимых элементов, а не с отдельными финансовыми показателями (Radic, Herrmann, Haberland, Riese, 2022). Данные работы показывают, что понимание бизнес-модели как динамической, реагирующей на внешние возмущения конфигурации получило распространение прежде всего применительно к шокам общего, не специфически санкционного характера, что образует один из элементов исследовательского пробела, систематически обосновываемого в разделе 1.10.</w:t>
      </w:r>
    </w:p>
    <w:p>
      <w:pPr>
        <w:spacing w:after="120" w:before="240"/>
        <w:jc w:val="left"/>
      </w:pPr>
      <w:r>
        <w:rPr>
          <w:rFonts w:ascii="Times New Roman" w:cs="Times New Roman" w:eastAsia="Times New Roman" w:hAnsi="Times New Roman"/>
          <w:sz w:val="28"/>
          <w:szCs w:val="28"/>
        </w:rPr>
        <w:t xml:space="preserve">Таблица 1.2 — Эволюция научных подходов к определению бизнес-модели</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216"/>
        <w:gridCol w:w="655"/>
        <w:gridCol w:w="2432"/>
        <w:gridCol w:w="1684"/>
        <w:gridCol w:w="1684"/>
        <w:gridCol w:w="1684"/>
      </w:tblGrid>
      <w:tr>
        <w:trPr>
          <w:tblHeader/>
        </w:trPr>
        <w:tc>
          <w:tcPr>
            <w:tcW w:type="dxa" w:w="121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Автор</w:t>
            </w:r>
          </w:p>
        </w:tc>
        <w:tc>
          <w:tcPr>
            <w:tcW w:type="dxa" w:w="655"/>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Год</w:t>
            </w:r>
          </w:p>
        </w:tc>
        <w:tc>
          <w:tcPr>
            <w:tcW w:type="dxa" w:w="2432"/>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Определение / подход</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Основной акцент</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Возможность количественной операционализации</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Значение для диссертации</w:t>
            </w:r>
          </w:p>
        </w:tc>
      </w:tr>
      <w:tr>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Osterwalder, Pigneur</w:t>
            </w:r>
          </w:p>
        </w:tc>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2010</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Логика создания, доставки и присвоения ценности; девять структурных блоков канвы</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Операциональная декомпозиция бизнес-модели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Высокая: каждый блок наблюдаем и измерим самостоятельно</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Основа операционализации девяти блоков в эмпирической части (Глава 3)</w:t>
            </w:r>
          </w:p>
        </w:tc>
      </w:tr>
      <w:tr>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Zott, Amit, Massa</w:t>
            </w:r>
          </w:p>
        </w:tc>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2011</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Система взаимозависимых видов деятельности, выходящая за границы фирмы</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Системность и межфирменный характер бизнес-модели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Средняя: обосновывает составной, а не единичный характер индекса</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Теоретическое основание системности индекса трансформации</w:t>
            </w:r>
          </w:p>
        </w:tc>
      </w:tr>
      <w:tr>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Casadesus-Masanell, Ricart</w:t>
            </w:r>
          </w:p>
        </w:tc>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2010</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Отражение реализованной стратегии, в отличие от декларируемой</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Разграничение бизнес-модели и стратегии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Средняя: указывает на источник данных (отчётность, а не декларации)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Обоснование опоры на финансовую отчётность как источник данных</w:t>
            </w:r>
          </w:p>
        </w:tc>
      </w:tr>
      <w:tr>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Teece</w:t>
            </w:r>
          </w:p>
        </w:tc>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2010</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Логика ценностного предложения и структуры доходов/издержек, связанная со способностью к пересмотру</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Динамическая природа бизнес-модели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Средняя: акцент на изменяемости, а не статичной структуре</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Связь бизнес-модели с теорией динамических способностей (раздел 1.5)</w:t>
            </w:r>
          </w:p>
        </w:tc>
      </w:tr>
      <w:tr>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Foss, Saebi</w:t>
            </w:r>
          </w:p>
        </w:tc>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2017</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Систематизация 150 работ 2000–2015 гг. по инновациям бизнес-моделей</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Констатация понятийной неоднородности поля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применимо (обзорная работа)</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Обоснование необходимости выбора рабочего определения</w:t>
            </w:r>
          </w:p>
        </w:tc>
      </w:tr>
      <w:tr>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Peñarroya-Farell, Miralles</w:t>
            </w:r>
          </w:p>
        </w:tc>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2022</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Бизнес-модель как объект наблюдаемой адаптации к дискретному внешнему шоку</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Эмпирическая фиксация трансформации под воздействием COVID-19</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Низкая в исходном исследовании: качественный кейс-анализ</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Иллюстрация дефицита количественных измерений трансформации</w:t>
            </w:r>
          </w:p>
        </w:tc>
      </w:tr>
      <w:tr>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Radic, Herrmann, Haberland, Riese</w:t>
            </w:r>
          </w:p>
        </w:tc>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2022</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Резильентность бизнес-модели как функция структуры её элементов</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Управленческая применимость понятия резильентности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Низкая: framework, не операционализированный количественно</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Подтверждение актуальности задачи количественной операционализации</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spacing w:after="160" w:before="0" w:line="360" w:lineRule="auto"/>
        <w:ind w:firstLine="709"/>
        <w:jc w:val="both"/>
      </w:pPr>
      <w:r>
        <w:rPr>
          <w:rFonts w:ascii="Times New Roman" w:cs="Times New Roman" w:eastAsia="Times New Roman" w:hAnsi="Times New Roman"/>
          <w:sz w:val="28"/>
          <w:szCs w:val="28"/>
        </w:rPr>
        <w:t xml:space="preserve">Сопоставление четырёх подходов показывает, что они не являются взаимоисключающими, а фиксируют различные аспекты одного и того же конструкта: операциональную структуру (Остервальдер и Пинье), системный характер (Зотт, Амит и Масса), эмпирическую наблюдаемость через отчётность (Касадесус-Масанель и Рикарт) и динамическую изменяемость (Тис). Для целей настоящего исследования рабочее определение синтезирует все четыре акцента: бизнес-модель компании определяется как логика создания, доставки и присвоения ценности, воплощённая в системе взаимозависимых структурных элементов, отражённая в финансовой и корпоративной отчётности компании и способная к динамической реконфигурации под воздействием внешней среды. Данное определение задаёт одновременно единицу наблюдения (девять структурных блоков), принцип агрегирования (системность, требующая составного индекса) и источник эмпирических данных (публичная отчётность), что и определяет операционализацию, разрабатываемую в третьей главе диссертации.</w:t>
      </w:r>
    </w:p>
    <w:p>
      <w:pPr>
        <w:spacing w:after="160" w:before="0" w:line="360" w:lineRule="auto"/>
        <w:ind w:firstLine="709"/>
        <w:jc w:val="both"/>
      </w:pPr>
      <w:r>
        <w:rPr>
          <w:rFonts w:ascii="Times New Roman" w:cs="Times New Roman" w:eastAsia="Times New Roman" w:hAnsi="Times New Roman"/>
          <w:sz w:val="28"/>
          <w:szCs w:val="28"/>
        </w:rPr>
        <w:t xml:space="preserve">Из проведённого сопоставления следует, что использование единого, механически заимствованного определения без учёта многообразия теоретических традиций привело бы к необоснованному сужению конструкта; вместе с тем полученное синтетическое определение уже указывает на центральную методологическую проблему, рассматриваемую в следующем разделе, — проблему соотношения между бизнес-моделью как многомерной системой и финансовыми показателями компании как её частичным, но не исчерпывающим отражением.</w:t>
      </w:r>
    </w:p>
    <w:p>
      <w:pPr>
        <w:pStyle w:val="Heading2"/>
        <w:spacing w:after="200" w:before="360" w:line="360" w:lineRule="auto"/>
        <w:jc w:val="left"/>
      </w:pPr>
      <w:r>
        <w:rPr>
          <w:rFonts w:ascii="Times New Roman" w:cs="Times New Roman" w:eastAsia="Times New Roman" w:hAnsi="Times New Roman"/>
          <w:b/>
          <w:bCs/>
          <w:sz w:val="28"/>
          <w:szCs w:val="28"/>
        </w:rPr>
        <w:t xml:space="preserve">1.4. Ограниченность финансовых показателей как индикатора трансформации бизнес-модели</w:t>
      </w:r>
    </w:p>
    <w:p>
      <w:pPr>
        <w:spacing w:after="160" w:before="0" w:line="360" w:lineRule="auto"/>
        <w:ind w:firstLine="709"/>
        <w:jc w:val="both"/>
      </w:pPr>
      <w:r>
        <w:rPr>
          <w:rFonts w:ascii="Times New Roman" w:cs="Times New Roman" w:eastAsia="Times New Roman" w:hAnsi="Times New Roman"/>
          <w:sz w:val="28"/>
          <w:szCs w:val="28"/>
        </w:rPr>
        <w:t xml:space="preserve">Значительная часть эмпирических исследований, затрагивающих реакцию компаний на внешние шоки, включая санкционные, использует в качестве зависимой переменной финансовые показатели результативности — выручку, прибыль, рентабельность активов, рыночную капитализацию или динамику издержек. Подобный выбор методологически оправдан для широкого круга исследовательских вопросов, однако принципиально недостаточен применительно к вопросу о трансформации бизнес-модели, что требует отдельного обоснования, поскольку данное разграничение образует содержательную предпосылку для последующего перехода к многомерной операционализации.</w:t>
      </w:r>
    </w:p>
    <w:p>
      <w:pPr>
        <w:spacing w:after="160" w:before="0" w:line="360" w:lineRule="auto"/>
        <w:ind w:firstLine="709"/>
        <w:jc w:val="both"/>
      </w:pPr>
      <w:r>
        <w:rPr>
          <w:rFonts w:ascii="Times New Roman" w:cs="Times New Roman" w:eastAsia="Times New Roman" w:hAnsi="Times New Roman"/>
          <w:sz w:val="28"/>
          <w:szCs w:val="28"/>
        </w:rPr>
        <w:t xml:space="preserve">Финансовые показатели фиксируют результат хозяйственной деятельности компании — итоговое соотношение доходов и издержек, сложившееся в данном периоде, — но не раскрывают способ, посредством которого этот результат достигнут. Две компании могут продемонстрировать сопоставимую динамику выручки при принципиально различных траекториях структурной адаптации: одна — посредством глубокой перестройки продуктового портфеля, партнёрской сети и структуры доходов, другая — посредством простого сокращения масштаба деятельности при сохранении прежней логики создания ценности. Отождествление данных двух траекторий на основании сходства финансового результата означало бы утрату содержательного различия между результатом деятельности компании и изменением способа создания, доставки и присвоения ценности — различия, прямо вытекающего из системной трактовки бизнес-модели, обоснованной в разделе 1.3 (Zott, Amit, Massa, 2011).</w:t>
      </w:r>
    </w:p>
    <w:p>
      <w:pPr>
        <w:spacing w:after="160" w:before="0" w:line="360" w:lineRule="auto"/>
        <w:ind w:firstLine="709"/>
        <w:jc w:val="both"/>
      </w:pPr>
      <w:r>
        <w:rPr>
          <w:rFonts w:ascii="Times New Roman" w:cs="Times New Roman" w:eastAsia="Times New Roman" w:hAnsi="Times New Roman"/>
          <w:sz w:val="28"/>
          <w:szCs w:val="28"/>
        </w:rPr>
        <w:t xml:space="preserve">Обратное несоответствие столь же значимо: компания способна продемонстрировать существенное ухудшение финансовых показателей вследствие санкционного шока при минимальном изменении собственно бизнес-модели — если издержки адаптации превышают её финансовые возможности либо если ухудшение результативности вызвано общими макроэкономическими факторами, не связанными непосредственно с санкционной экспозицией. В подобном случае финансовый показатель фиксировал бы последствия шока, но не позволял бы отличить компанию, действительно перестроившую логику создания ценности, от компании, лишь понёсшей издержки без структурной адаптации. Различение данных двух ситуаций возможно только при обращении к показателям, непосредственно отражающим структурные элементы бизнес-модели — состав ключевых партнёров, географию и структуру каналов сбыта, структуру доходных потоков, состав ключевых ресурсов, — а не к их агрегированному финансовому следствию.</w:t>
      </w:r>
    </w:p>
    <w:p>
      <w:pPr>
        <w:spacing w:after="160" w:before="0" w:line="360" w:lineRule="auto"/>
        <w:ind w:firstLine="709"/>
        <w:jc w:val="both"/>
      </w:pPr>
      <w:r>
        <w:rPr>
          <w:rFonts w:ascii="Times New Roman" w:cs="Times New Roman" w:eastAsia="Times New Roman" w:hAnsi="Times New Roman"/>
          <w:sz w:val="28"/>
          <w:szCs w:val="28"/>
        </w:rPr>
        <w:t xml:space="preserve">Методологическим следствием изложенного выступает необходимость многомерной операционализации трансформации бизнес-модели, учитывающей изменение по каждому из структурных элементов, установленных в разделе 1.3, с последующим агрегированием в составной индекс, а не редукции задачи к анализу единственного финансового показателя. Данное следствие напрямую предвосхищает архитектуру эмпирической части исследования, в которой финансовые показатели сохраняют значение, но выступают компонентами операционализации отдельных структурных блоков — в частности, структуры доходов и структуры издержек, — либо контрольными переменными, отражающими финансовое состояние компании независимо от собственно трансформации бизнес-модели, не подменяя собой зависимую переменную исследования в целом.</w:t>
      </w:r>
    </w:p>
    <w:p>
      <w:pPr>
        <w:pStyle w:val="Heading2"/>
        <w:spacing w:after="200" w:before="360" w:line="360" w:lineRule="auto"/>
        <w:jc w:val="left"/>
      </w:pPr>
      <w:r>
        <w:rPr>
          <w:rFonts w:ascii="Times New Roman" w:cs="Times New Roman" w:eastAsia="Times New Roman" w:hAnsi="Times New Roman"/>
          <w:b/>
          <w:bCs/>
          <w:sz w:val="28"/>
          <w:szCs w:val="28"/>
        </w:rPr>
        <w:t xml:space="preserve">1.5. Теоретические подходы к адаптации компаний к внешним шокам</w:t>
      </w:r>
    </w:p>
    <w:p>
      <w:pPr>
        <w:spacing w:after="160" w:before="0" w:line="360" w:lineRule="auto"/>
        <w:ind w:firstLine="709"/>
        <w:jc w:val="both"/>
      </w:pPr>
      <w:r>
        <w:rPr>
          <w:rFonts w:ascii="Times New Roman" w:cs="Times New Roman" w:eastAsia="Times New Roman" w:hAnsi="Times New Roman"/>
          <w:sz w:val="28"/>
          <w:szCs w:val="28"/>
        </w:rPr>
        <w:t xml:space="preserve">Вопрос о том, посредством какого теоретического механизма внешний шок транслируется в наблюдаемое изменение бизнес-модели фирмы, не имеет единственного общепринятого ответа в литературе стратегического менеджмента: за последние четыре десятилетия сформировалось несколько относительно самостоятельных теоретических традиций, каждая из которых предлагает собственное объяснение способности организации реагировать на изменение внешней среды. Выбор теоретической рамки для настоящего исследования требует не декларативного предпочтения одной из традиций, а последовательного сопоставления их объяснительной силы применительно к специфике санкционного шока как объекта анализа.</w:t>
      </w:r>
    </w:p>
    <w:p>
      <w:pPr>
        <w:spacing w:after="160" w:before="0" w:line="360" w:lineRule="auto"/>
        <w:ind w:firstLine="709"/>
        <w:jc w:val="both"/>
      </w:pPr>
      <w:r>
        <w:rPr>
          <w:rFonts w:ascii="Times New Roman" w:cs="Times New Roman" w:eastAsia="Times New Roman" w:hAnsi="Times New Roman"/>
          <w:sz w:val="28"/>
          <w:szCs w:val="28"/>
        </w:rPr>
        <w:t xml:space="preserve">Ресурсный подход (Resource-Based View) образует исторически более раннюю традицию объяснения устойчивого конкурентного преимущества фирмы. Вернерфельт предложил анализировать фирму со стороны совокупности принадлежащих ей ресурсов, а не со стороны продуктовых рынков, на которых она конкурирует, показав, что барьеры на уровне ресурсной позиции способны обеспечивать устойчивое преимущество способом, аналогичным барьерам входа на товарный рынок (Wernerfelt, 1984). Барни развил данную традицию, сформулировав критерии, при которых ресурс становится источником устойчивого конкурентного преимущества, — ценность, редкость, невоспроизводимость и отсутствие эквивалентных субститутов (Barney, 1991). Объяснительная сила ресурсного подхода применительно к задачам настоящего исследования ограничена его преимущественно статичным характером: подход хорошо объясняет, почему определённая конфигурация ресурсов обеспечивает конкурентное преимущество в данный момент времени, но не даёт развёрнутого объяснения механизма, посредством которого фирма реконфигурирует данную совокупность ресурсов в ответ на дискретное внешнее возмущение, — а именно этот механизм составляет предмет интереса применительно к санкционному шоку.</w:t>
      </w:r>
    </w:p>
    <w:p>
      <w:pPr>
        <w:spacing w:after="160" w:before="0" w:line="360" w:lineRule="auto"/>
        <w:ind w:firstLine="709"/>
        <w:jc w:val="both"/>
      </w:pPr>
      <w:r>
        <w:rPr>
          <w:rFonts w:ascii="Times New Roman" w:cs="Times New Roman" w:eastAsia="Times New Roman" w:hAnsi="Times New Roman"/>
          <w:sz w:val="28"/>
          <w:szCs w:val="28"/>
        </w:rPr>
        <w:t xml:space="preserve">Теория динамических способностей возникла как прямое развитие ресурсного подхода, устраняющее указанное ограничение. Тис, Пизано и Шуен определяют динамические способности как способность фирмы интегрировать, выстраивать и реконфигурировать внутренние и внешние компетенции в ответ на быстро меняющуюся среду, подчёркивая, что конкурентное преимущество основывается не на самой ресурсной базе, а на процессах её обновления (Teece, Pisano, Shuen, 1997). Последующее развитие теории конкретизировало данные процессы через три микрооснóвы — sensing (распознавание возможностей и угроз), seizing (их использование посредством реконфигурации бизнес-модели) и transforming (трансформацию организационных активов) (Teece, 2007). Принципиальным для настоящего исследования является то, что данная теория, в отличие от ресурсного подхода, напрямую увязывает динамические способности с изменением именно бизнес-модели: способность seizing реализуется, по Тису, в том числе через пересмотр логики создания и присвоения ценности — то есть через процесс, содержательно тождественный трансформации бизнес-модели, как она определена в разделе 1.3.</w:t>
      </w:r>
    </w:p>
    <w:p>
      <w:pPr>
        <w:spacing w:after="160" w:before="0" w:line="360" w:lineRule="auto"/>
        <w:ind w:firstLine="709"/>
        <w:jc w:val="both"/>
      </w:pPr>
      <w:r>
        <w:rPr>
          <w:rFonts w:ascii="Times New Roman" w:cs="Times New Roman" w:eastAsia="Times New Roman" w:hAnsi="Times New Roman"/>
          <w:sz w:val="28"/>
          <w:szCs w:val="28"/>
        </w:rPr>
        <w:t xml:space="preserve">Теория организационной резильентности предлагает альтернативный акцент, смещая внимание с процесса реконфигурации на способность организации сохранять функциональность и восстанавливаться после разрушительного воздействия. Дучек концептуализирует организационную резильентность как метаспособность, реализуемую в трёх последовательных стадиях — предвосхищении, преодолении и адаптации, — и подчёркивает, что резильентность не тождественна простому восстановлению исходного состояния, а способна включать качественное изменение организационной конфигурации (Duchek, 2020). Данная традиция содержательно близка к теории динамических способностей, однако её аналитический фокус смещён к вопросу о выживании и устойчивости организации перед лицом кризиса, а не к вопросу о направленной реконфигурации бизнес-модели как таковой, что делает её более пригодной для анализа факта продолжения деятельности компании (рассматриваемого в третьей главе диссертации как самостоятельная угроза смещения выборки вследствие выбывания фирм), чем для анализа содержательного направления структурной трансформации.</w:t>
      </w:r>
    </w:p>
    <w:p>
      <w:pPr>
        <w:spacing w:after="160" w:before="0" w:line="360" w:lineRule="auto"/>
        <w:ind w:firstLine="709"/>
        <w:jc w:val="both"/>
      </w:pPr>
      <w:r>
        <w:rPr>
          <w:rFonts w:ascii="Times New Roman" w:cs="Times New Roman" w:eastAsia="Times New Roman" w:hAnsi="Times New Roman"/>
          <w:sz w:val="28"/>
          <w:szCs w:val="28"/>
        </w:rPr>
        <w:t xml:space="preserve">Теория стратегической гибкости акцентирует внимание на свойствах самой ресурсной базы фирмы, определяющих скорость и диапазон возможной реконфигурации. Санчес определяет стратегическую гибкость как функцию гибкости используемых фирмой ресурсов и гибкости координации данных ресурсов в конкурентной среде, показывая, что фирмы с более гибкой ресурсной базой способны быстрее реагировать на изменение рыночных условий (Sanchez, 1995). Применительно к задачам настоящего исследования данная теория представляет интерес как источник гипотезы о гетерогенности эффекта санкционного шока в зависимости от исходного уровня технологической гибкости компании, однако сама по себе не формулирует целостного объяснения перехода от внешнего шока к трансформации структурных элементов бизнес-модели, ограничиваясь констатацией различий в скорости адаптации.</w:t>
      </w:r>
    </w:p>
    <w:p>
      <w:pPr>
        <w:spacing w:after="160" w:before="0" w:line="360" w:lineRule="auto"/>
        <w:ind w:firstLine="709"/>
        <w:jc w:val="both"/>
      </w:pPr>
      <w:r>
        <w:rPr>
          <w:rFonts w:ascii="Times New Roman" w:cs="Times New Roman" w:eastAsia="Times New Roman" w:hAnsi="Times New Roman"/>
          <w:sz w:val="28"/>
          <w:szCs w:val="28"/>
        </w:rPr>
        <w:t xml:space="preserve">Теория абсорбционной способности объясняет адаптацию фирмы через её способность распознавать ценность нового внешнего знания, усваивать его и применять в коммерческих целях. Коэн и Левинтал показывают, что абсорбционная способность фирмы является в значительной мере функцией накопленного ею предшествующего знания, что создаёт эффект зависимости от предшествующей траектории развития (Cohen, Levinthal, 1990). Применительно к санкционному шоку данная теория объясняет прежде всего способность компании осваивать альтернативные, замещающие западные решения технологии, но не даёт целостного объяснения трансформации иных структурных блоков бизнес-модели — партнёрской сети, структуры доходов, каналов сбыта, — что ограничивает её применимость ролью вспомогательного, а не основного теоретического механизма.</w:t>
      </w:r>
    </w:p>
    <w:p>
      <w:pPr>
        <w:spacing w:after="120" w:before="240"/>
        <w:jc w:val="left"/>
      </w:pPr>
      <w:r>
        <w:rPr>
          <w:rFonts w:ascii="Times New Roman" w:cs="Times New Roman" w:eastAsia="Times New Roman" w:hAnsi="Times New Roman"/>
          <w:sz w:val="28"/>
          <w:szCs w:val="28"/>
        </w:rPr>
        <w:t xml:space="preserve">Таблица 1.3 — Теоретические подходы к анализу адаптации компаний к внешним шокам</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310"/>
        <w:gridCol w:w="1497"/>
        <w:gridCol w:w="1871"/>
        <w:gridCol w:w="1684"/>
        <w:gridCol w:w="1684"/>
        <w:gridCol w:w="1310"/>
      </w:tblGrid>
      <w:tr>
        <w:trPr>
          <w:tblHeader/>
        </w:trPr>
        <w:tc>
          <w:tcPr>
            <w:tcW w:type="dxa" w:w="1310"/>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Подход</w:t>
            </w:r>
          </w:p>
        </w:tc>
        <w:tc>
          <w:tcPr>
            <w:tcW w:type="dxa" w:w="1497"/>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Основные авторы</w:t>
            </w:r>
          </w:p>
        </w:tc>
        <w:tc>
          <w:tcPr>
            <w:tcW w:type="dxa" w:w="1871"/>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Ключевой механизм</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Что объясняет</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Ограничения применительно к санкциям</w:t>
            </w:r>
          </w:p>
        </w:tc>
        <w:tc>
          <w:tcPr>
            <w:tcW w:type="dxa" w:w="1310"/>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Возможность использования в диссертации</w:t>
            </w:r>
          </w:p>
        </w:tc>
      </w:tr>
      <w:tr>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Ресурсный подход (RBV)</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Wernerfelt (1984); Barney (1991)</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Устойчивое преимущество через ценные, редкие, невоспроизводимые ресурсы</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Почему определённая ресурсная конфигурация даёт преимущество</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Статичен; не объясняет механизм реконфигурации при дискретном шоке</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Вспомогательная — обоснование ценности предсанкционных ресурсов</w:t>
            </w:r>
          </w:p>
        </w:tc>
      </w:tr>
      <w:tr>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Динамические способности</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Teece, Pisano, Shuen (1997); Teece (2007)</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Sensing — seizing — transforming: распознавание, использование, реконфигурация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Как фирма целенаправленно перестраивает бизнес-модель в ответ на шок</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Разработана для шоков общего характера, не для санкций специфически</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Основная теоретическая рамка исследования</w:t>
            </w:r>
          </w:p>
        </w:tc>
      </w:tr>
      <w:tr>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Организационная резильентность</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Duchek (2020)</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Предвосхищение — преодоление — адаптация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Способность фирмы сохранять функциональность и восстанавливаться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Акцент на выживании, а не на направлении структурной трансформации</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Вспомогательная — анализ выбывания фирм (Глава 3)</w:t>
            </w:r>
          </w:p>
        </w:tc>
      </w:tr>
      <w:tr>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Стратегическая гибкость</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Sanchez (1995)</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Гибкость ресурсов и гибкость их координации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Скорость и диапазон возможной реконфигурации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формулирует целостного перехода «шок → трансформация БМ»</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Вспомогательная — гипотеза о гетерогенности эффекта</w:t>
            </w:r>
          </w:p>
        </w:tc>
      </w:tr>
      <w:tr>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Абсорбционная способность</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Cohen, Levinthal (1990)</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Распознавание, усвоение и применение нового внешнего знания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Способность осваивать замещающие технологии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Объясняет только технологический блок бизнес-модели</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Вспомогательная — механизм технологического замещения</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spacing w:after="160" w:before="0" w:line="360" w:lineRule="auto"/>
        <w:ind w:firstLine="709"/>
        <w:jc w:val="both"/>
      </w:pPr>
      <w:r>
        <w:rPr>
          <w:rFonts w:ascii="Times New Roman" w:cs="Times New Roman" w:eastAsia="Times New Roman" w:hAnsi="Times New Roman"/>
          <w:sz w:val="28"/>
          <w:szCs w:val="28"/>
        </w:rPr>
        <w:t xml:space="preserve">Проведённое сопоставление показывает, что теория динамических способностей обладает наибольшей объяснительной силой применительно к предмету настоящего исследования по трём содержательным основаниям. Во-первых, в отличие от ресурсного подхода, она объясняет не статичную ценность ресурсной конфигурации, а процесс её целенаправленного изменения — то есть именно то явление, которое обозначено объектом исследования в разделе 1.1. Во-вторых, в отличие от теорий резильентности и стратегической гибкости, она напрямую связывает динамическую способность seizing с пересмотром логики создания и присвоения ценности, что делает её единственной среди рассмотренных традиций теорией, эксплицитно увязывающей адаптацию фирмы именно с трансформацией бизнес-модели, а не с более общими категориями устойчивости или скорости реакции. В-третьих, в отличие от теории абсорбционной способности, объясняющей исключительно технологическое измерение адаптации, теория динамических способностей по своей структуре — sensing, seizing, transforming — охватывает весь диапазон структурных блоков бизнес-модели, установленных в разделе 1.3, от ключевых ресурсов до партнёрской сети и структуры доходов.</w:t>
      </w:r>
    </w:p>
    <w:p>
      <w:pPr>
        <w:spacing w:after="160" w:before="0" w:line="360" w:lineRule="auto"/>
        <w:ind w:firstLine="709"/>
        <w:jc w:val="both"/>
      </w:pPr>
      <w:r>
        <w:rPr>
          <w:rFonts w:ascii="Times New Roman" w:cs="Times New Roman" w:eastAsia="Times New Roman" w:hAnsi="Times New Roman"/>
          <w:sz w:val="28"/>
          <w:szCs w:val="28"/>
        </w:rPr>
        <w:t xml:space="preserve">Одновременно необходимо признать ограничение, установленное в таблице 1.3: теория динамических способностей была сформулирована и получила эмпирическую разработку применительно к шокам общего технологического и рыночного характера, тогда как санкционный шок обладает специфическими чертами — дискретностью введения, юридической оформленностью, разнородностью составляющих компонентов (торговых, финансовых, технологических ограничений) и различной интенсивностью воздействия на отдельные фирмы в зависимости от их предшоковой интеграции в затрагиваемые контуры. Перенос теоретической рамки динамических способностей на данный специфический класс внешнего воздействия составляет не техническое применение готовой теории, а самостоятельную теоретическую задачу, решаемую в настоящем исследовании: механизм sensing применительно к санкционному шоку означает распознавание компанией масштаба утраты доступа к ресурсам, рынкам и капиталу; механизм seizing — принятие решений о реконфигурации ценностного предложения, партнёрской сети и структуры доходов; механизм transforming — фактическое изменение организационных активов, наблюдаемое в отчётности компании. Данная конкретизация теоретического механизма применительно к санкционному шоку образует содержательную связь между настоящей главой и разработанной эконометрической моделью, в которой предсанкционная санкционная экспозиция компании выступает источником дифференцированного давления к реконфигурации, а индекс трансформации бизнес-модели — измеримым отражением результата данной реконфигурации.</w:t>
      </w:r>
    </w:p>
    <w:p>
      <w:pPr>
        <w:spacing w:after="160" w:before="0" w:line="360" w:lineRule="auto"/>
        <w:ind w:firstLine="709"/>
        <w:jc w:val="both"/>
      </w:pPr>
      <w:r>
        <w:rPr>
          <w:rFonts w:ascii="Times New Roman" w:cs="Times New Roman" w:eastAsia="Times New Roman" w:hAnsi="Times New Roman"/>
          <w:sz w:val="28"/>
          <w:szCs w:val="28"/>
        </w:rPr>
        <w:t xml:space="preserve">Из проведённого анализа следует, что дальнейшее рассмотрение санкций как экономического шока требует не абстрактного продолжения теоретической дискуссии, а перехода к вопросу о том, каким образом существующая эмпирическая литература о санкциях операционализирует воздействие санкционного режима на разных уровнях анализа и в какой мере данная литература учитывает установленный теоретический механизм перехода от шока к трансформации бизнес-модели.</w:t>
      </w:r>
    </w:p>
    <w:p>
      <w:pPr>
        <w:pStyle w:val="Heading2"/>
        <w:spacing w:after="200" w:before="360" w:line="360" w:lineRule="auto"/>
        <w:jc w:val="left"/>
      </w:pPr>
      <w:r>
        <w:rPr>
          <w:rFonts w:ascii="Times New Roman" w:cs="Times New Roman" w:eastAsia="Times New Roman" w:hAnsi="Times New Roman"/>
          <w:b/>
          <w:bCs/>
          <w:sz w:val="28"/>
          <w:szCs w:val="28"/>
        </w:rPr>
        <w:t xml:space="preserve">1.6. Санкции как экономический шок: макро-, отраслевой, фирменный и бизнес-модельный уровни анализа</w:t>
      </w:r>
    </w:p>
    <w:p>
      <w:pPr>
        <w:spacing w:after="160" w:before="0" w:line="360" w:lineRule="auto"/>
        <w:ind w:firstLine="709"/>
        <w:jc w:val="both"/>
      </w:pPr>
      <w:r>
        <w:rPr>
          <w:rFonts w:ascii="Times New Roman" w:cs="Times New Roman" w:eastAsia="Times New Roman" w:hAnsi="Times New Roman"/>
          <w:sz w:val="28"/>
          <w:szCs w:val="28"/>
        </w:rPr>
        <w:t xml:space="preserve">Исследования экономических последствий санкций исторически развивались по направлению от макроэкономического уровня анализа к всё более дезагрегированным единицам наблюдения, и прослеживание данной эволюции необходимо для точного определения места настоящего исследования в существующем массиве литературы.</w:t>
      </w:r>
    </w:p>
    <w:p>
      <w:pPr>
        <w:spacing w:after="160" w:before="0" w:line="360" w:lineRule="auto"/>
        <w:ind w:firstLine="709"/>
        <w:jc w:val="both"/>
      </w:pPr>
      <w:r>
        <w:rPr>
          <w:rFonts w:ascii="Times New Roman" w:cs="Times New Roman" w:eastAsia="Times New Roman" w:hAnsi="Times New Roman"/>
          <w:sz w:val="28"/>
          <w:szCs w:val="28"/>
        </w:rPr>
        <w:t xml:space="preserve">На макроэкономическом уровне санкции рассматриваются как фактор, воздействующий на агрегированные показатели страны-объекта — валовой внутренний продукт, объём внешней торговли, инвестиционные потоки, валютный курс и состояние платёжного баланса. Основополагающая монография Хафбауэра, Шотта, Эллиотт и Оегг, проанализировавшая 204 санкционных эпизода начиная с 1914 г., установила, что экономические санкции достигают заявленных политических целей лишь в ограниченной доле случаев, что стимулировало последующий интерес к количественной оценке их собственно экономических, а не политических последствий (Hufbauer, Schott, Elliott, Oegg, 2007). Нойенкирх и Ноймайер, используя панель из 167 стран за 1976–2012 гг. и метод панельной регрессии с фиксированными эффектами, показали, что санкции ООН связаны со снижением темпов роста ВВП страны-объекта в среднем на 2,3–3,5 процентных пункта в год (Neuenkirch, Neumeier, 2015), а систематизация санкционных эпизодов в рамках Global Sanctions Data Base создала эмпирическую основу для последующих работ, различающих типы санкций по их экономическому механизму (Felbermayr, Kirilakha, Syropoulos, Yalcin, Yotov, 2020). Общей чертой макроуровневых исследований выступает единица анализа — страна или пара стран, — вследствие чего подобные работы по своей архитектуре не способны зафиксировать неоднородность реакции отдельных экономических агентов внутри страны-объекта, составляющую содержательный предмет настоящего исследования.</w:t>
      </w:r>
    </w:p>
    <w:p>
      <w:pPr>
        <w:spacing w:after="160" w:before="0" w:line="360" w:lineRule="auto"/>
        <w:ind w:firstLine="709"/>
        <w:jc w:val="both"/>
      </w:pPr>
      <w:r>
        <w:rPr>
          <w:rFonts w:ascii="Times New Roman" w:cs="Times New Roman" w:eastAsia="Times New Roman" w:hAnsi="Times New Roman"/>
          <w:sz w:val="28"/>
          <w:szCs w:val="28"/>
        </w:rPr>
        <w:t xml:space="preserve">Промежуточный, отраслевой уровень анализа акцентирует внимание на дифференцированном воздействии санкций на отдельные секторы экономики, определяемом характером применяемых ограничений — технологического экспортного контроля, отраслевых торговых барьеров, ограничений на трансфер технологий. Исследование влияния экспортного контроля США на инновационную активность китайских компаний, включённых в санкционные списки, показало, что технологические ограничения способны не подавлять, а парадоксальным образом стимулировать рост внутренних расходов на исследования и разработки и патентную активность подсанкционных фирм, что указывает на неоднозначность и разнонаправленность отраслевого эффекта технологических ограничений (Lin, Zhang, Yang, Chen, 2025). Отраслевой уровень анализа важен постольку, поскольку демонстрирует, что даже в границах одного сектора эффект санкций не универсален, а зависит от специфики применяемого ограничения — наблюдение, прямо согласующееся с многокомпонентной трактовкой санкционной экспозиции, обоснованной в разделе 1.2.2.</w:t>
      </w:r>
    </w:p>
    <w:p>
      <w:pPr>
        <w:spacing w:after="160" w:before="0" w:line="360" w:lineRule="auto"/>
        <w:ind w:firstLine="709"/>
        <w:jc w:val="both"/>
      </w:pPr>
      <w:r>
        <w:rPr>
          <w:rFonts w:ascii="Times New Roman" w:cs="Times New Roman" w:eastAsia="Times New Roman" w:hAnsi="Times New Roman"/>
          <w:sz w:val="28"/>
          <w:szCs w:val="28"/>
        </w:rPr>
        <w:t xml:space="preserve">Фирменный уровень анализа, получивший интенсивное развитие в последнее десятилетие, смещает единицу наблюдения на отдельную компанию и использует в качестве зависимых переменных показатели финансовой результативности, экспортной активности, доступа к финансированию и производительности. Первоначальный аналог настоящего массива работ создан применительно к торговым последствиям контрсанкций против России 2014 г. с использованием метода синтетического контроля на уровне товарных партий (Crozet, Hinz, 2020) и применительно к реакции подсанкционных компаний в целом, показавшей неоднородность экономического эффекта в зависимости от типа применённых ограничений (Ahn, Ludema, 2020). Применительно к санкционному режиму 2022 г. появился ряд работ, непосредственно анализирующих реакцию российских компаний: исследование влияния зарубежных санкций на результативность фирм в России с использованием панельных данных (Huynh, Hoang, Ongena, 2022); анализ адаптационных стратегий российских компаний к санкциям 2022 г., систематизировавший используемые фирмами способы реагирования — переориентацию поставок, замещение технологий, изменение структуры собственности (Kuzyk, Simachev, 2023); оценка влияния санкций на финансовую результативность и кредитоспособность российских нефинансовых компаний с построением авторского индекса санкционного давления на панели из 58 компаний за 2015–2022 гг. (Dobrynina, Grishunin, 2025); и исследование влияния санкций на финансовую результативность российских фирм с более широким временны́м охватом (Lee, Kumo, 2025). Отдельного упоминания заслуживает работа, показавшая на массиве германских компаний, что финансовые санкции способны затрагивать даже нефинансовые фирмы через цепочки контрагентских связей — результат, подтверждающий многоканальный характер передачи санкционного воздействия на уровне отдельной фирмы (Besedeš, Goldbach, Nitsch, 2021).</w:t>
      </w:r>
    </w:p>
    <w:p>
      <w:pPr>
        <w:spacing w:after="160" w:before="0" w:line="360" w:lineRule="auto"/>
        <w:ind w:firstLine="709"/>
        <w:jc w:val="both"/>
      </w:pPr>
      <w:r>
        <w:rPr>
          <w:rFonts w:ascii="Times New Roman" w:cs="Times New Roman" w:eastAsia="Times New Roman" w:hAnsi="Times New Roman"/>
          <w:sz w:val="28"/>
          <w:szCs w:val="28"/>
        </w:rPr>
        <w:t xml:space="preserve">Систематический анализ перечисленных firm-level работ позволяет установить их общую методологическую характеристику: во всех случаях зависимая переменная представляет собой либо агрегированный финансовый показатель (выручка, рентабельность, кредитный рейтинг), либо описательно фиксируемую адаптационную стратегию, не операционализированную в виде количественного, статистически оцениваемого индекса структурных изменений бизнес-модели. Работа Кузык и Симачева (2023), наиболее близкая по содержанию к предмету настоящего исследования, систематизирует стратегии адаптации российских компаний описательно, на основе экспертных интервью и кейс-анализа, не формализуя структурные изменения в виде составного количественного индекса, пригодного для панельного эконометрического анализа с фиксированными эффектами и причинной идентификацией.</w:t>
      </w:r>
    </w:p>
    <w:p>
      <w:pPr>
        <w:spacing w:after="160" w:before="0" w:line="360" w:lineRule="auto"/>
        <w:ind w:firstLine="709"/>
        <w:jc w:val="both"/>
      </w:pPr>
      <w:r>
        <w:rPr>
          <w:rFonts w:ascii="Times New Roman" w:cs="Times New Roman" w:eastAsia="Times New Roman" w:hAnsi="Times New Roman"/>
          <w:sz w:val="28"/>
          <w:szCs w:val="28"/>
        </w:rPr>
        <w:t xml:space="preserve">Четвёртый, бизнес-модельный уровень анализа — измерение непосредственно конфигурации бизнес-модели фирмы как отклика на санкционное воздействие — в рассмотренной совокупности работ фактически отсутствует как самостоятельный, методологически оформленный уровень: ни одна из проанализированных публикаций не строит составного индекса трансформации бизнес-модели, сопоставимого по строгости операционализации с индексами финансовой результативности, используемыми на фирменном уровне анализа. Данное наблюдение не является декларативным утверждением о неизученности темы — оно опирается на систематическое рассмотрение семи направлений литературы, представленное в разделе 1.9, — но уже на данном этапе изложения обозначает структурный разрыв между зрелой методологией измерения финансовых последствий санкций и неразвитой методологией измерения их бизнес-модельных последствий.</w:t>
      </w:r>
    </w:p>
    <w:p>
      <w:pPr>
        <w:pStyle w:val="Heading2"/>
        <w:spacing w:after="200" w:before="360" w:line="360" w:lineRule="auto"/>
        <w:jc w:val="left"/>
      </w:pPr>
      <w:r>
        <w:rPr>
          <w:rFonts w:ascii="Times New Roman" w:cs="Times New Roman" w:eastAsia="Times New Roman" w:hAnsi="Times New Roman"/>
          <w:b/>
          <w:bCs/>
          <w:sz w:val="28"/>
          <w:szCs w:val="28"/>
        </w:rPr>
        <w:t xml:space="preserve">1.7. IT-отрасль как объект исследования санкционного воздействия</w:t>
      </w:r>
    </w:p>
    <w:p>
      <w:pPr>
        <w:spacing w:after="160" w:before="0" w:line="360" w:lineRule="auto"/>
        <w:ind w:firstLine="709"/>
        <w:jc w:val="both"/>
      </w:pPr>
      <w:r>
        <w:rPr>
          <w:rFonts w:ascii="Times New Roman" w:cs="Times New Roman" w:eastAsia="Times New Roman" w:hAnsi="Times New Roman"/>
          <w:sz w:val="28"/>
          <w:szCs w:val="28"/>
        </w:rPr>
        <w:t xml:space="preserve">IT-компания в настоящем исследовании определяется как хозяйствующий субъект, основным видом деятельности которого выступает разработка, интеграция, поддержка или предоставление программного обеспечения, информационных систем либо связанных с ними технологических услуг, а IT-отрасль — как совокупность подобных субъектов, объединённых общностью технологической базы, рынков сбыта и регуляторной среды. Данное определение соответствует практике отраслевой классификации, используемой Реестром аккредитованных организаций, осуществляющих деятельность в области информационных технологий, Министерства цифрового развития Российской Федерации, объединяющим более 25 000 организаций, и позволяет очертить эмпирическую границу выборки, детализируемую в третьей главе диссертации.</w:t>
      </w:r>
    </w:p>
    <w:p>
      <w:pPr>
        <w:spacing w:after="160" w:before="0" w:line="360" w:lineRule="auto"/>
        <w:ind w:firstLine="709"/>
        <w:jc w:val="both"/>
      </w:pPr>
      <w:r>
        <w:rPr>
          <w:rFonts w:ascii="Times New Roman" w:cs="Times New Roman" w:eastAsia="Times New Roman" w:hAnsi="Times New Roman"/>
          <w:sz w:val="28"/>
          <w:szCs w:val="28"/>
        </w:rPr>
        <w:t xml:space="preserve">Выбор IT-отрасли в качестве объекта эмпирического анализа обусловлен сочетанием характеристик, которое для российской экономики представляет скорее исключение, чем типичный случай. Отрасль характеризуется высокой технологической зависимостью от зарубежных решений — лицензионного программного обеспечения, платформ разработки, облачной инфраструктуры, — а также зависимостью от импортируемых аппаратных компонентов, включая полупроводники и серверное оборудование, что делает её структурно уязвимой именно к тем каналам воздействия, которые типологически образуют содержание санкционного режима, установленное в разделе 1.2.1. Одновременно отрасль отличается высокой ролью человеческого капитала и расходов на исследования и разработки в структуре создания ценности, значимыми сетевыми эффектами, быстрыми темпами технологического обновления и — что особенно существенно для целей настоящего исследования — интенсивными зарубежными партнёрскими связями, включённостью в международные рынки сбыта и зависимостью от международных платёжных систем, обеспечивавших расчёты по зарубежным контрактам.</w:t>
      </w:r>
    </w:p>
    <w:p>
      <w:pPr>
        <w:spacing w:after="160" w:before="0" w:line="360" w:lineRule="auto"/>
        <w:ind w:firstLine="709"/>
        <w:jc w:val="both"/>
      </w:pPr>
      <w:r>
        <w:rPr>
          <w:rFonts w:ascii="Times New Roman" w:cs="Times New Roman" w:eastAsia="Times New Roman" w:hAnsi="Times New Roman"/>
          <w:sz w:val="28"/>
          <w:szCs w:val="28"/>
        </w:rPr>
        <w:t xml:space="preserve">Совокупность перечисленных характеристик означает, что санкционный шок способен воздействовать на IT-компанию не только через прямой канал издержек — удорожание или недоступность отдельных ресурсов, — но и через цепочку взаимосвязанных структурных изменений, затрагивающих последовательно ключевые ресурсы и партнёрскую сеть компании, её продуктовый портфель, географию и структуру рынков сбыта, состав клиентской базы, каналы продаж и, в конечном счёте, структуру доходной модели. Именно данная многоканальная природа воздействия, установленная теоретически в разделе 1.5 применительно к механизмам sensing, seizing и transforming, делает IT-отрасль не просто удобным, а содержательно обоснованным эмпирическим полем для изучения трансформации бизнес-модели как такового явления, а не только её финансовых последствий.</w:t>
      </w:r>
    </w:p>
    <w:p>
      <w:pPr>
        <w:spacing w:after="160" w:before="0" w:line="360" w:lineRule="auto"/>
        <w:ind w:firstLine="709"/>
        <w:jc w:val="both"/>
      </w:pPr>
      <w:r>
        <w:rPr>
          <w:rFonts w:ascii="Times New Roman" w:cs="Times New Roman" w:eastAsia="Times New Roman" w:hAnsi="Times New Roman"/>
          <w:sz w:val="28"/>
          <w:szCs w:val="28"/>
        </w:rPr>
        <w:t xml:space="preserve">Дополнительным содержательным основанием выступает наблюдаемая неоднородность реакции компаний отрасли на санкционный шок: уход значительной части западных поставщиков программного обеспечения и облачных сервисов, а также запрет на экспорт отдельных категорий полупроводников затронули различные сегменты отрасли неодинаково — часть компаний, преимущественно осуществлявших интеграцию зарубежных решений, столкнулась с прямой утратой продуктовой базы, тогда как часть компаний, специализирующихся на разработке отечественных решений, в том числе в области кибербезопасности, получила возможность расширения рыночной доли за счёт сегментов, освобождённых уходом иностранных конкурентов. Данная неоднородность образует необходимую для эконометрического анализа вариацию зависимой переменной: без подобной вариации содержательная идентификация причинного эффекта санкционной экспозиции на трансформацию бизнес-модели была бы невозможна, что напрямую соответствует требованию к достаточной вариации, установленному в разработанной эконометрической методике.</w:t>
      </w:r>
    </w:p>
    <w:p>
      <w:pPr>
        <w:pStyle w:val="Heading2"/>
        <w:spacing w:after="200" w:before="360" w:line="360" w:lineRule="auto"/>
        <w:jc w:val="left"/>
      </w:pPr>
      <w:r>
        <w:rPr>
          <w:rFonts w:ascii="Times New Roman" w:cs="Times New Roman" w:eastAsia="Times New Roman" w:hAnsi="Times New Roman"/>
          <w:b/>
          <w:bCs/>
          <w:sz w:val="28"/>
          <w:szCs w:val="28"/>
        </w:rPr>
        <w:t xml:space="preserve">1.8. Российский контекст: санкционные эпизоды 2014 и 2022 годов и государственная политика импортозамещения</w:t>
      </w:r>
    </w:p>
    <w:p>
      <w:pPr>
        <w:spacing w:after="160" w:before="0" w:line="360" w:lineRule="auto"/>
        <w:ind w:firstLine="709"/>
        <w:jc w:val="both"/>
      </w:pPr>
      <w:r>
        <w:rPr>
          <w:rFonts w:ascii="Times New Roman" w:cs="Times New Roman" w:eastAsia="Times New Roman" w:hAnsi="Times New Roman"/>
          <w:sz w:val="28"/>
          <w:szCs w:val="28"/>
        </w:rPr>
        <w:t xml:space="preserve">Российский контекст санкционного воздействия на IT-отрасль не сводится к единичному событию, а представляет собой последовательность двух качественно различных эпизодов, разделённых восемью годами, что образует значимую содержательную специфику, требующую отдельного рассмотрения, не сводимого, однако, к простой хронологии событий: экономические события описываются здесь лишь в объёме, необходимом для объяснения того, каким образом возникает внешний шок и каким образом он способен привести к структурной трансформации бизнес-модели фирмы.</w:t>
      </w:r>
    </w:p>
    <w:p>
      <w:pPr>
        <w:spacing w:after="160" w:before="0" w:line="360" w:lineRule="auto"/>
        <w:ind w:firstLine="709"/>
        <w:jc w:val="both"/>
      </w:pPr>
      <w:r>
        <w:rPr>
          <w:rFonts w:ascii="Times New Roman" w:cs="Times New Roman" w:eastAsia="Times New Roman" w:hAnsi="Times New Roman"/>
          <w:sz w:val="28"/>
          <w:szCs w:val="28"/>
        </w:rPr>
        <w:t xml:space="preserve">Санкционный режим, введённый начиная с 2014 г. в связи с изменением статуса Крыма и вооружённым конфликтом на востоке Украины, затронул преимущественно финансовый и энергетический секторы российской экономики, а также ограничил доступ отдельных категорий российских компаний к рынкам долгосрочного капитала и отдельным технологиям двойного назначения. Применительно к IT-отрасли данный эпизод носил ограниченный характер: технологические ограничения не охватывали массовое использование зарубежного программного обеспечения и облачной инфраструктуры, вследствие чего основным следствием эпизода 2014 г. для отрасли выступила не непосредственная утрата технологического доступа, а формирование первичного институционального импульса к политике импортозамещения, получившей на данном этапе преимущественно декларативный и точечный характер.</w:t>
      </w:r>
    </w:p>
    <w:p>
      <w:pPr>
        <w:spacing w:after="160" w:before="0" w:line="360" w:lineRule="auto"/>
        <w:ind w:firstLine="709"/>
        <w:jc w:val="both"/>
      </w:pPr>
      <w:r>
        <w:rPr>
          <w:rFonts w:ascii="Times New Roman" w:cs="Times New Roman" w:eastAsia="Times New Roman" w:hAnsi="Times New Roman"/>
          <w:sz w:val="28"/>
          <w:szCs w:val="28"/>
        </w:rPr>
        <w:t xml:space="preserve">Санкционный режим, введённый начиная с 2022 г., отличается от эпизода 2014 г. качественно, а не только количественно, по трём содержательным основаниям. Во-первых, режим включил массовый технологический экспортный контроль, охвативший поставки полупроводников, телекоммуникационного оборудования и широкого спектра программного обеспечения. Во-вторых, режим сопровождался масштабным добровольным уходом западных технологических компаний с российского рынка — включая поставщиков корпоративного программного обеспечения, облачной инфраструктуры и средств разработки, — что для эпизода 2014 г. не было характерно в сопоставимом масштабе. В-третьих, ответ российского государства на данный эпизод приобрёл существенно более системный характер: были приняты требования об обязательном переходе объектов критической информационной инфраструктуры на отечественное программное обеспечение, сформированы индустриальные центры компетенций по замещению зарубежных отраслевых цифровых решений, расширены налоговые льготы и программы льготного кредитования IT-отрасли. Кузык и Симачев, систематизировавшие адаптационные стратегии российских компаний к санкциям 2022 г. на основе эмпирического материала, показывают, что диапазон применяемых компаниями стратегий — от переориентации поставок на альтернативные юрисдикции до полного пересмотра продуктовой линейки — существенно различался по отраслям и по исходному уровню технологической зависимости компаний от западных решений (Kuzyk, Simachev, 2023).</w:t>
      </w:r>
    </w:p>
    <w:p>
      <w:pPr>
        <w:spacing w:after="160" w:before="0" w:line="360" w:lineRule="auto"/>
        <w:ind w:firstLine="709"/>
        <w:jc w:val="both"/>
      </w:pPr>
      <w:r>
        <w:rPr>
          <w:rFonts w:ascii="Times New Roman" w:cs="Times New Roman" w:eastAsia="Times New Roman" w:hAnsi="Times New Roman"/>
          <w:sz w:val="28"/>
          <w:szCs w:val="28"/>
        </w:rPr>
        <w:t xml:space="preserve">Государственная политика импортозамещения и поддержки IT-отрасли, интенсифицировавшаяся после 2022 г., образует существенный методологический вызов для последующего эмпирического анализа, а не только фактологический фон: меры государственной поддержки действуют в том же направлении и зачастую одновременно с санкционным шоком, а их появление для ряда программ само является политическим ответом на данный шок, а не независимым от него процессом. Разграничение эффекта собственно санкционного давления и эффекта сопутствующей государственной политики поддержки образует одну из угроз идентификации, подробно рассматриваемых в третьей главе диссертации; в границах настоящей главы существенно зафиксировать содержательный факт: наблюдаемая трансформация бизнес-модели российских IT-компаний после 2022 г. представляет собой совокупный результат санкционного давления и эндогенного по отношению к нему политического ответа, а не эффект санкций в изолированном виде.</w:t>
      </w:r>
    </w:p>
    <w:p>
      <w:pPr>
        <w:spacing w:after="160" w:before="0" w:line="360" w:lineRule="auto"/>
        <w:ind w:firstLine="709"/>
        <w:jc w:val="both"/>
      </w:pPr>
      <w:r>
        <w:rPr>
          <w:rFonts w:ascii="Times New Roman" w:cs="Times New Roman" w:eastAsia="Times New Roman" w:hAnsi="Times New Roman"/>
          <w:sz w:val="28"/>
          <w:szCs w:val="28"/>
        </w:rPr>
        <w:t xml:space="preserve">Наличие двух исторически различных эпизодов — ограниченного по масштабу 2014 г. и системного 2022 г. — открывает, наряду с методологическим вызовом, содержательную исследовательскую возможность: проверку устойчивости выявляемой зависимости между интенсивностью санкционной экспозиции и трансформацией бизнес-модели за пределами одного конкретного исторического события, что, однако, требует отдельного методологического решения, разрабатываемого в третьей главе диссертации, и не составляет предмета настоящей главы. Для целей первой главы существенно, что оба эпизода подтверждают исходный тезис о неоднородности санкционного воздействия на отдельные компании в зависимости от их структурных характеристик — тезис, образующий понятийное основание индекса санкционной экспозиции компании, введённого в разделе 1.2.2.</w:t>
      </w:r>
    </w:p>
    <w:p>
      <w:pPr>
        <w:pStyle w:val="Heading2"/>
        <w:spacing w:after="200" w:before="360" w:line="360" w:lineRule="auto"/>
        <w:jc w:val="left"/>
      </w:pPr>
      <w:r>
        <w:rPr>
          <w:rFonts w:ascii="Times New Roman" w:cs="Times New Roman" w:eastAsia="Times New Roman" w:hAnsi="Times New Roman"/>
          <w:b/>
          <w:bCs/>
          <w:sz w:val="28"/>
          <w:szCs w:val="28"/>
        </w:rPr>
        <w:t xml:space="preserve">1.9. Степень научной разработанности проблемы</w:t>
      </w:r>
    </w:p>
    <w:p>
      <w:pPr>
        <w:spacing w:after="160" w:before="0" w:line="360" w:lineRule="auto"/>
        <w:ind w:firstLine="709"/>
        <w:jc w:val="both"/>
      </w:pPr>
      <w:r>
        <w:rPr>
          <w:rFonts w:ascii="Times New Roman" w:cs="Times New Roman" w:eastAsia="Times New Roman" w:hAnsi="Times New Roman"/>
          <w:sz w:val="28"/>
          <w:szCs w:val="28"/>
        </w:rPr>
        <w:t xml:space="preserve">Систематизация рассмотренной в предшествующих разделах литературы, дополненная работами, специфически относящимися к теоретическим традициям адаптации и динамических способностей, позволяет выделить семь относительно самостоятельных направлений исследований, совокупность которых образует концептуальную базу настоящей диссертации, но ни одно из которых по отдельности не закрывает заявленную в ней исследовательскую задачу. Систематизация представлена в таблице 1.1; последующее изложение раскрывает по каждому направлению то, что установлено достоверно, что остаётся дискуссионным, какие методы преобладают и какой вопрос остаётся без ответа.</w:t>
      </w:r>
    </w:p>
    <w:p>
      <w:pPr>
        <w:spacing w:after="160" w:before="0" w:line="360" w:lineRule="auto"/>
        <w:ind w:firstLine="709"/>
        <w:jc w:val="both"/>
      </w:pPr>
      <w:r>
        <w:rPr>
          <w:rFonts w:ascii="Times New Roman" w:cs="Times New Roman" w:eastAsia="Times New Roman" w:hAnsi="Times New Roman"/>
          <w:sz w:val="28"/>
          <w:szCs w:val="28"/>
        </w:rPr>
        <w:t xml:space="preserve">Первое направление — исследования экономических последствий санкций на макроуровне — методологически наиболее зрелое: применение панельной регрессии с фиксированными эффектами к межстрановым данным (Neuenkirch, Neumeier, 2015) и систематизация типологии санкционных режимов (Hufbauer, Schott, Elliott, Oegg, 2007; Felbermayr, Kirilakha, Syropoulos, Yalcin, Yotov, 2020) прочно установили факт негативного влияния санкций на агрегированные макропоказатели страны-объекта. Дискуссионным в данном направлении остаётся не факт наличия эффекта, а его величина и обусловленность конкретным типом санкционного режима. Ограничение направления, устанавливаемое самой природой единицы анализа, состоит в принципиальной невозможности зафиксировать внутристрановую неоднородность реакции отдельных экономических агентов, что оставляет открытым вопрос о механизме передачи макроэкономического шока на уровень фирмы.</w:t>
      </w:r>
    </w:p>
    <w:p>
      <w:pPr>
        <w:spacing w:after="160" w:before="0" w:line="360" w:lineRule="auto"/>
        <w:ind w:firstLine="709"/>
        <w:jc w:val="both"/>
      </w:pPr>
      <w:r>
        <w:rPr>
          <w:rFonts w:ascii="Times New Roman" w:cs="Times New Roman" w:eastAsia="Times New Roman" w:hAnsi="Times New Roman"/>
          <w:sz w:val="28"/>
          <w:szCs w:val="28"/>
        </w:rPr>
        <w:t xml:space="preserve">Второе направление — исследования санкционного воздействия на фирмы — развивается наиболее интенсивно применительно к российскому кейсу последнего десятилетия. Установлено, что санкционное воздействие неоднородно по типу применяемых ограничений (Ahn, Ludema, 2020), что оно распространяется на нефинансовые фирмы через контрагентские связи с санкционированными финансовыми институтами (Besedeš, Goldbach, Nitsch, 2021), что оно поддаётся оценке методом синтетического контроля на уровне торговых потоков (Crozet, Hinz, 2020) и что российские компании демонстрируют статистически значимую, хотя и неоднородную по отраслям реакцию финансовой результативности на санкционное давление (Huynh, Hoang, Ongena, 2022; Dobrynina, Grishunin, 2025; Lee, Kumo, 2025). Преобладающий метод — панельная регрессия и метод синтетического контроля на данных финансовой и торговой статистики. Дискуссионным остаётся вопрос о механизме, посредством которого зафиксированный финансовый эффект транслируется в изменение операционной модели фирмы; ни одна из перечисленных работ не ставит данный вопрос как самостоятельный предмет анализа.</w:t>
      </w:r>
    </w:p>
    <w:p>
      <w:pPr>
        <w:spacing w:after="160" w:before="0" w:line="360" w:lineRule="auto"/>
        <w:ind w:firstLine="709"/>
        <w:jc w:val="both"/>
      </w:pPr>
      <w:r>
        <w:rPr>
          <w:rFonts w:ascii="Times New Roman" w:cs="Times New Roman" w:eastAsia="Times New Roman" w:hAnsi="Times New Roman"/>
          <w:sz w:val="28"/>
          <w:szCs w:val="28"/>
        </w:rPr>
        <w:t xml:space="preserve">Третье направление — исследования адаптации компаний к внешним шокам — представлено преимущественно качественными и смешанными по методу работами. Кросс-кейсовый анализ адаптации бизнес-моделей испанских креативных индустрий к пандемийному шоку (Peñarroya-Farell, Miralles, 2022) и разработка управленческого фреймворка резильентности бизнес-модели (Radic, Herrmann, Haberland, Riese, 2022) устанавливают содержательную связь между внешним шоком и структурными характеристиками бизнес-модели, однако оба исследования остаются на уровне качественного кейс-анализа либо неоперационализированного количественно фреймворка, не переходя к статистически проверяемой количественной модели. Ограничение направления в целом состоит в отсутствии систематического перехода от концептуального описания адаптации к её эконометрической операционализации.</w:t>
      </w:r>
    </w:p>
    <w:p>
      <w:pPr>
        <w:spacing w:after="160" w:before="0" w:line="360" w:lineRule="auto"/>
        <w:ind w:firstLine="709"/>
        <w:jc w:val="both"/>
      </w:pPr>
      <w:r>
        <w:rPr>
          <w:rFonts w:ascii="Times New Roman" w:cs="Times New Roman" w:eastAsia="Times New Roman" w:hAnsi="Times New Roman"/>
          <w:sz w:val="28"/>
          <w:szCs w:val="28"/>
        </w:rPr>
        <w:t xml:space="preserve">Четвёртое направление — исследования динамических способностей — обладает наиболее развитой теоретической базой (Teece, Pisano, Shuen, 1997; Teece, 2007) и растущим массивом количественных эмпирических приложений применительно к кризисным условиям: структурное моделирование связи динамических способностей и результативности малых и средних предприятий в период COVID-19 на выборке из 209 фирм (Dejardin, Raposo, Ferreira, Fernandes, Veiga, Farinha, 2022) и анализ роли динамических способностей в инновации бизнес-модели туристических предприятий в кризисный период (Sahebalzamani, Jørgensen, Bertella, Nilsen, 2022) показывают, что данная теоретическая традиция всё активнее операционализируется количественно. Ограничением направления в контексте настоящего исследования выступает то, что подобная операционализация до настоящего времени применялась к шокам общего кризисного характера (пандемия, финансовый кризис) и к малым и средним предприятиям преимущественно западных экономик, но не к специфически санкционному шоку и не к российским IT-компаниям.</w:t>
      </w:r>
    </w:p>
    <w:p>
      <w:pPr>
        <w:spacing w:after="160" w:before="0" w:line="360" w:lineRule="auto"/>
        <w:ind w:firstLine="709"/>
        <w:jc w:val="both"/>
      </w:pPr>
      <w:r>
        <w:rPr>
          <w:rFonts w:ascii="Times New Roman" w:cs="Times New Roman" w:eastAsia="Times New Roman" w:hAnsi="Times New Roman"/>
          <w:sz w:val="28"/>
          <w:szCs w:val="28"/>
        </w:rPr>
        <w:t xml:space="preserve">Пятое направление — исследования бизнес-моделей как теоретического конструкта — рассмотрено подробно в разделе 1.3; систематический обзор данного направления констатирует зрелость понятийного аппарата при сохраняющейся понятийной неоднородности (Foss, Saebi, 2017; Osterwalder, Pigneur, 2010; Zott, Amit, Massa, 2011; Casadesus-Masanell, Ricart, 2010). Дискуссионным остаётся не столько содержание конструкта, сколько способ его операционализации для целей количественного эмпирического анализа — вопрос, на который данное направление литературы, по своей природе преимущественно концептуальное, не даёт развёрнутого ответа.</w:t>
      </w:r>
    </w:p>
    <w:p>
      <w:pPr>
        <w:spacing w:after="160" w:before="0" w:line="360" w:lineRule="auto"/>
        <w:ind w:firstLine="709"/>
        <w:jc w:val="both"/>
      </w:pPr>
      <w:r>
        <w:rPr>
          <w:rFonts w:ascii="Times New Roman" w:cs="Times New Roman" w:eastAsia="Times New Roman" w:hAnsi="Times New Roman"/>
          <w:sz w:val="28"/>
          <w:szCs w:val="28"/>
        </w:rPr>
        <w:t xml:space="preserve">Шестое направление — количественные исследования трансформации бизнес-моделей — образует наиболее тонкий слой рассмотренной литературы. В границах систематически проанализированной совокупности работ отсутствуют исследования, строящие составной, статистически верифицируемый индекс трансформации бизнес-модели, сопоставимый по строгости операционализации с индексами финансовой результативности, используемыми во втором направлении: наиболее близкие по содержанию работы (Peñarroya-Farell, Miralles, 2022; Radic, Herrmann, Haberland, Riese, 2022) остаются на уровне качественного либо неоперационализированного количественно анализа. Именно данное направление образует наиболее тонкий сегмент рассмотренной литературы и первый из элементов исследовательского пробела, систематически обосновываемого в разделе 1.10.</w:t>
      </w:r>
    </w:p>
    <w:p>
      <w:pPr>
        <w:spacing w:after="160" w:before="0" w:line="360" w:lineRule="auto"/>
        <w:ind w:firstLine="709"/>
        <w:jc w:val="both"/>
      </w:pPr>
      <w:r>
        <w:rPr>
          <w:rFonts w:ascii="Times New Roman" w:cs="Times New Roman" w:eastAsia="Times New Roman" w:hAnsi="Times New Roman"/>
          <w:sz w:val="28"/>
          <w:szCs w:val="28"/>
        </w:rPr>
        <w:t xml:space="preserve">Седьмое направление — исследования российских IT-компаний в условиях санкционного давления — представлено ограниченным кругом работ, из которых наиболее релевантной является систематизация адаптационных стратегий российских компаний к санкциям 2022 г. (Kuzyk, Simachev, 2023), выполненная описательно, на основе экспертного и кейсового материала, без построения панельной эконометрической модели и без специфического фокуса на IT-отрасли как таковой. Работы, одновременно сочетающие российский IT-контекст, панельные данные фирменного уровня и эконометрическую причинную идентификацию, в рассмотренной совокупности литературы не выявлены.</w:t>
      </w:r>
    </w:p>
    <w:p>
      <w:pPr>
        <w:spacing w:after="120" w:before="240"/>
        <w:jc w:val="left"/>
      </w:pPr>
      <w:r>
        <w:rPr>
          <w:rFonts w:ascii="Times New Roman" w:cs="Times New Roman" w:eastAsia="Times New Roman" w:hAnsi="Times New Roman"/>
          <w:sz w:val="28"/>
          <w:szCs w:val="28"/>
        </w:rPr>
        <w:t xml:space="preserve">Таблица 1.1 — Систематизация исследований по проблеме воздействия внешних шоков и санкций на компании</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029"/>
        <w:gridCol w:w="1216"/>
        <w:gridCol w:w="1216"/>
        <w:gridCol w:w="1216"/>
        <w:gridCol w:w="1123"/>
        <w:gridCol w:w="1403"/>
        <w:gridCol w:w="1123"/>
        <w:gridCol w:w="1029"/>
      </w:tblGrid>
      <w:tr>
        <w:trPr>
          <w:tblHeader/>
        </w:trPr>
        <w:tc>
          <w:tcPr>
            <w:tcW w:type="dxa" w:w="1029"/>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Направление</w:t>
            </w:r>
          </w:p>
        </w:tc>
        <w:tc>
          <w:tcPr>
            <w:tcW w:type="dxa" w:w="121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Автор, год</w:t>
            </w:r>
          </w:p>
        </w:tc>
        <w:tc>
          <w:tcPr>
            <w:tcW w:type="dxa" w:w="121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Объект</w:t>
            </w:r>
          </w:p>
        </w:tc>
        <w:tc>
          <w:tcPr>
            <w:tcW w:type="dxa" w:w="121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Выборка / данные</w:t>
            </w:r>
          </w:p>
        </w:tc>
        <w:tc>
          <w:tcPr>
            <w:tcW w:type="dxa" w:w="112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Метод</w:t>
            </w:r>
          </w:p>
        </w:tc>
        <w:tc>
          <w:tcPr>
            <w:tcW w:type="dxa" w:w="140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Основной результат</w:t>
            </w:r>
          </w:p>
        </w:tc>
        <w:tc>
          <w:tcPr>
            <w:tcW w:type="dxa" w:w="112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Ограничение</w:t>
            </w:r>
          </w:p>
        </w:tc>
        <w:tc>
          <w:tcPr>
            <w:tcW w:type="dxa" w:w="1029"/>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Значение для настоящего исследования</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 Санкции: макроуровень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Hufbauer, Schott, Elliott, Oegg (2007)</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Санкционные режимы 1914–2000-х гг.</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204 санкционных эпизода</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Историко-статистический анализ</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Санкции достигают политических целей примерно в 30% случаев</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Единица анализа — страна; неприменимо к фирме</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Типология санкций для ИСЭК</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 Санкции: макроуровень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Neuenkirch, Neumeier (2015)</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Страны — объекты санкций ООН</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167 стран, 1976–2012</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Панельная регрессия с FE</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Санкции снижают темп роста ВВП на 2,3–3,5 п.п. в год</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фиксирует внутристрановую неоднородность</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Прецедент метода FE для причинной оценки</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 Санкции: макроуровень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Felbermayr et al. (2020); Yalcin et al. (2025)</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Санкционные режимы стран мира</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Global Sanctions Data Base</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Систематизация и кодирование</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Гетерогенность эффектов санкций против России по типам мер</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Описательная база, не причинная модель</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Источник типологии для компонентов ИСЭК</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 Санкции: фирменный 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Ahn, Ludema (2020)</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Подсанкционные компании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Фирмы под таргетированными санкциями</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Эконометрический анализ</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Неоднородность эффекта по типу ограничений</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рассматривает механизм адаптации</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Обоснование многокомпонентности ИСЭК</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 Санкции: фирменный 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Crozet, Hinz (2020)</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Торговые потоки Россия — ЕС</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Товарные позиции, 2014–2015</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Синтетический контроль</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Оценён торговый эффект санкций и контрсанкций 2014 г.</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Уровень товарных потоков, не бизнес-модели</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Прецедент synthetic control для России</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 Санкции: фирменный 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Besedeš, Goldbach, Nitsch (2021)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Германские нефинансовые фирмы</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 немецких компаний</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Панельная регрессия</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Финансовые санкции затрагивают нефинансовые фирмы через контрагентов</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Россия; не IT-отрасль</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Обоснование многоканальности передачи шока</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 Санкции: фирменный 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Huynh, Hoang, Ongena (2022)</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Российские компании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 фирм, 2022–2023</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Панельная регрессия</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Значимый эффект санкций на результативность фирм</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Финансовые показатели, не бизнес-модель</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Прямой аналог для DV-финансовых альтернатив</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 Санкции: фирменный уровень</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Dobrynina, Grishunin (2025)</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Российские нефинансовые компании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58 компаний, 2015–2022</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Индекс санкционного давления + регрессия</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Умеренное негативное влияние на кредитоспособность</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IT-отрасль; индекс не бизнес-модельный</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Прецедент построения авторского индекса санкций</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3. Адаптация к шокам</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Peñarroya-Farell, Miralles (2022)</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Испанские креативные индустрии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10 компаний, качественно</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Кросс-кейсовый анализ</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Различие траекторий адаптации БМ при общем шоке</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Качественный анализ, малая выборка</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Иллюстрация неоднородности реакции БМ</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3. Адаптация к шокам</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Radic, Herrmann, Haberland, Riese (2022)</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Компании в кризисных условиях</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Концептуальная разработка</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Framework-анализ</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Резильентность БМ как функция структуры элементов</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операционализирован количественно</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Обоснование системности индекса ИТБМ</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4. Динамические способности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Teece, Pisano, Shuen (1997); Teece (2007)</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Фирмы в динамичной среде</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Теоретическая разработка</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Концептуальный анализ</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Sensing — seizing — transforming как микрооснóвы адаптации</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специфична для санкций</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Основная теоретическая рамка</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4. Динамические способности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Dejardin et al. (2022)</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МСП в период COVID-19</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209 фирм, опрос</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Структурное моделирование</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ДС положительно влияют на результативность фирм в кризис</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Общий кризис, не санкции; не Россия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Прецедент количественной операционализации ДС</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4. Динамические способности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Sahebalzamani et al. (2022)</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Туристические предприятия</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Качественное исследование</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Тематический анализ</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ДС опосредуют инновацию БМ в кризис</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Малая отрасль, качественный метод</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Связь ДС с инновацией именно БМ</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5. Бизнес-модели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Osterwalder, Pigneur (2010); Zott, Amit, Massa (2011)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Бизнес-модель как конструкт</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Теоретическая разработка</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Концептуальный анализ</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Операциональная и системная трактовка БМ</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измерительный инструмент</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Основа операционализации 9 блоков</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5. Бизнес-модели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Foss, Saebi (2017)</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Литература об инновации БМ</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150 публикаций 2000–2015</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Систематический обзор</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Понятийная неоднородность поля БМ</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Обзорная работа</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Обоснование выбора рабочего определения</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6. Количественная трансформация БМ</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 Направление 3</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Отсутствие строгого количественного индекса трансформации БМ</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Тончайший сегмент литературы</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Прямое обоснование научной новизны</w:t>
            </w:r>
          </w:p>
        </w:tc>
      </w:tr>
      <w:tr>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7. Российские IT-компании</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Kuzyk, Simachev (2023)</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Российские компании, 2022 г.</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Экспертный и кейсовый материал</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Описательная систематизация</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Систематизированы стратегии адаптации к санкциям 2022 г.</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эконометрическая модель; не IT-специфична</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Ближайший содержательный аналог</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pStyle w:val="Heading2"/>
        <w:spacing w:after="200" w:before="360" w:line="360" w:lineRule="auto"/>
        <w:jc w:val="left"/>
      </w:pPr>
      <w:r>
        <w:rPr>
          <w:rFonts w:ascii="Times New Roman" w:cs="Times New Roman" w:eastAsia="Times New Roman" w:hAnsi="Times New Roman"/>
          <w:b/>
          <w:bCs/>
          <w:sz w:val="28"/>
          <w:szCs w:val="28"/>
        </w:rPr>
        <w:t xml:space="preserve">1.10. Критический анализ и исследовательский пробел</w:t>
      </w:r>
    </w:p>
    <w:p>
      <w:pPr>
        <w:spacing w:after="160" w:before="0" w:line="360" w:lineRule="auto"/>
        <w:ind w:firstLine="709"/>
        <w:jc w:val="both"/>
      </w:pPr>
      <w:r>
        <w:rPr>
          <w:rFonts w:ascii="Times New Roman" w:cs="Times New Roman" w:eastAsia="Times New Roman" w:hAnsi="Times New Roman"/>
          <w:sz w:val="28"/>
          <w:szCs w:val="28"/>
        </w:rPr>
        <w:t xml:space="preserve">Проведённый обзор литературы позволяет выявить исследовательский пробел не декларативно, а как логическое следствие сопоставления семи рассмотренных направлений: каждое из них по отдельности методологически состоятельно и содержательно продвинуто, однако их пересечение — область, в которой строгая эконометрическая методология фирменного уровня анализа применялась бы непосредственно к измерению трансформации бизнес-модели под воздействием санкционного шока применительно к российским IT-компаниям, — остаётся не заполненной. Ниже данный пробел раскрывается как совокупность четырёх конкретных, логически выводимых из обзора разрывов.</w:t>
      </w:r>
    </w:p>
    <w:p>
      <w:pPr>
        <w:spacing w:after="160" w:before="0" w:line="360" w:lineRule="auto"/>
        <w:ind w:firstLine="709"/>
        <w:jc w:val="both"/>
      </w:pPr>
      <w:r>
        <w:rPr>
          <w:rFonts w:ascii="Times New Roman" w:cs="Times New Roman" w:eastAsia="Times New Roman" w:hAnsi="Times New Roman"/>
          <w:sz w:val="28"/>
          <w:szCs w:val="28"/>
        </w:rPr>
        <w:t xml:space="preserve">Первый разрыв связан с отсутствием количественного, статистически верифицируемого индекса трансформации бизнес-модели, сопоставимого по строгости построения с индексами финансовой результативности, широко используемыми во втором направлении литературы. Направления 3, 5 и 6 совместно демонстрируют, что зрелый теоретический аппарат описания бизнес-модели (направление 5) существует параллельно с растущим, но преимущественно качественным интересом к её адаптации под воздействием шоков (направление 3), тогда как строгая количественная операционализация подобной адаптации (направление 6) остаётся практически неразработанной.</w:t>
      </w:r>
    </w:p>
    <w:p>
      <w:pPr>
        <w:spacing w:after="160" w:before="0" w:line="360" w:lineRule="auto"/>
        <w:ind w:firstLine="709"/>
        <w:jc w:val="both"/>
      </w:pPr>
      <w:r>
        <w:rPr>
          <w:rFonts w:ascii="Times New Roman" w:cs="Times New Roman" w:eastAsia="Times New Roman" w:hAnsi="Times New Roman"/>
          <w:sz w:val="28"/>
          <w:szCs w:val="28"/>
        </w:rPr>
        <w:t xml:space="preserve">Второй разрыв связан с тем, что направление, наиболее методологически развитое в отношении причинной идентификации, — исследования санкционного воздействия на фирмы (направление 2), — систематически использует в качестве зависимой переменной финансовые показатели результативности, не переходя к операционализации структурных характеристик бизнес-модели, тогда как обоснование, приведённое в разделе 1.4, показывает содержательную недостаточность подобного сведения. Строгий эконометрический инструментарий панельного анализа и причинной идентификации, отработанный в направлении 2, ни в одной из рассмотренных работ не был перенесён на зависимую переменную, отражающую именно структурную, а не финансовую трансформацию.</w:t>
      </w:r>
    </w:p>
    <w:p>
      <w:pPr>
        <w:spacing w:after="160" w:before="0" w:line="360" w:lineRule="auto"/>
        <w:ind w:firstLine="709"/>
        <w:jc w:val="both"/>
      </w:pPr>
      <w:r>
        <w:rPr>
          <w:rFonts w:ascii="Times New Roman" w:cs="Times New Roman" w:eastAsia="Times New Roman" w:hAnsi="Times New Roman"/>
          <w:sz w:val="28"/>
          <w:szCs w:val="28"/>
        </w:rPr>
        <w:t xml:space="preserve">Третий разрыв связан с тем, что теория динамических способностей, обладающая наибольшей объяснительной силой применительно к переходу от внешнего шока к трансформации бизнес-модели (раздел 1.5), получила количественную эмпирическую операционализацию (направление 4) применительно к шокам общего кризисного характера — пандемии, финансовым потрясениям, — но не применительно к специфически санкционному шоку, обладающему установленными в разделе 1.2 отличительными чертами: дискретностью, юридической оформленностью и многокомпонентной, дифференцированной по фирмам природой воздействия.</w:t>
      </w:r>
    </w:p>
    <w:p>
      <w:pPr>
        <w:spacing w:after="160" w:before="0" w:line="360" w:lineRule="auto"/>
        <w:ind w:firstLine="709"/>
        <w:jc w:val="both"/>
      </w:pPr>
      <w:r>
        <w:rPr>
          <w:rFonts w:ascii="Times New Roman" w:cs="Times New Roman" w:eastAsia="Times New Roman" w:hAnsi="Times New Roman"/>
          <w:sz w:val="28"/>
          <w:szCs w:val="28"/>
        </w:rPr>
        <w:t xml:space="preserve">Четвёртый разрыв связан с тем, что направление, наиболее близкое по географическому и отраслевому фокусу к задачам настоящего исследования, — исследования российских IT-компаний в условиях санкционного давления (направление 7), — представлено единичными работами описательного характера, не использующими панельные данные фирменного уровня и эконометрическую причинную идентификацию, тогда как соответствующий методологический инструментарий уже отработан применительно к иным зависимым переменным в направлении 2.</w:t>
      </w:r>
    </w:p>
    <w:p>
      <w:pPr>
        <w:spacing w:after="120" w:before="240"/>
        <w:jc w:val="left"/>
      </w:pPr>
      <w:r>
        <w:rPr>
          <w:rFonts w:ascii="Times New Roman" w:cs="Times New Roman" w:eastAsia="Times New Roman" w:hAnsi="Times New Roman"/>
          <w:sz w:val="28"/>
          <w:szCs w:val="28"/>
        </w:rPr>
        <w:t xml:space="preserve">Таблица 1.4 — Исследовательские разрывы и вклад настоящего исследования</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748"/>
        <w:gridCol w:w="2994"/>
        <w:gridCol w:w="2807"/>
        <w:gridCol w:w="2807"/>
      </w:tblGrid>
      <w:tr>
        <w:trPr>
          <w:tblHeader/>
        </w:trPr>
        <w:tc>
          <w:tcPr>
            <w:tcW w:type="dxa" w:w="748"/>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Разрыв</w:t>
            </w:r>
          </w:p>
        </w:tc>
        <w:tc>
          <w:tcPr>
            <w:tcW w:type="dxa" w:w="299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Что установлено литературой</w:t>
            </w:r>
          </w:p>
        </w:tc>
        <w:tc>
          <w:tcPr>
            <w:tcW w:type="dxa" w:w="2807"/>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Что отсутствует</w:t>
            </w:r>
          </w:p>
        </w:tc>
        <w:tc>
          <w:tcPr>
            <w:tcW w:type="dxa" w:w="2807"/>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Вклад настоящего исследования</w:t>
            </w:r>
          </w:p>
        </w:tc>
      </w:tr>
      <w:tr>
        <w:tc>
          <w:tcPr>
            <w:tcW w:type="dxa" w:w="74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Зрелый теоретический аппарат описания бизнес-модели (направление 5); растущий качественный интерес к её адаптации (направление 3)</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Строгий количественный, статистически верифицируемый индекс трансформации бизнес-модели</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Разработка индекса трансформации бизнес-модели (ИТБМ) на основе девяти операционализированных структурных блоков</w:t>
            </w:r>
          </w:p>
        </w:tc>
      </w:tr>
      <w:tr>
        <w:tc>
          <w:tcPr>
            <w:tcW w:type="dxa" w:w="74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Развитая методология панельного причинного анализа санкционного воздействия на финансовые показатели фирм (направление 2)</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Перенос данной методологии на зависимую переменную, отражающую структурную, а не финансовую трансформацию</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Применение панельной регрессии с фиксированными эффектами и метода разности разностей к индексу трансформации бизнес-модели</w:t>
            </w:r>
          </w:p>
        </w:tc>
      </w:tr>
      <w:tr>
        <w:tc>
          <w:tcPr>
            <w:tcW w:type="dxa" w:w="74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3</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Теория динамических способностей и её количественная операционализация применительно к общим кризисным шокам (направление 4)</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Операционализация теории применительно к специфически санкционному, многокомпонентному шоку</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Формализация причинной цепочки «санкционная экспозиция → реконфигурация → трансформация бизнес-модели» и построение индекса санкционной экспозиции компании (ИСЭК)</w:t>
            </w:r>
          </w:p>
        </w:tc>
      </w:tr>
      <w:tr>
        <w:tc>
          <w:tcPr>
            <w:tcW w:type="dxa" w:w="74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4</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Описательная систематизация адаптационных стратегий российских компаний к санкциям 2022 г. (направление 7)</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Панельный эконометрический анализ российских IT-компаний с причинной идентификацией эффекта</w:t>
            </w:r>
          </w:p>
        </w:tc>
        <w:tc>
          <w:tcPr>
            <w:tcW w:type="dxa" w:w="280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Апробация разработанной методики на панельных данных российских публичных IT-компаний за 2019–2024 гг.</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spacing w:after="160" w:before="0" w:line="360" w:lineRule="auto"/>
        <w:ind w:firstLine="709"/>
        <w:jc w:val="both"/>
      </w:pPr>
      <w:r>
        <w:rPr>
          <w:rFonts w:ascii="Times New Roman" w:cs="Times New Roman" w:eastAsia="Times New Roman" w:hAnsi="Times New Roman"/>
          <w:sz w:val="28"/>
          <w:szCs w:val="28"/>
        </w:rPr>
        <w:t xml:space="preserve">Выявленные разрывы обусловливают структуру последующих глав диссертации: третья глава разрабатывает эконометрическую методику, непосредственно закрывающую разрывы 1–3 — построение индексов санкционной экспозиции и трансформации бизнес-модели и их причинное сопоставление посредством панельной регрессии, метода разности разностей, событийного анализа и системы проверок устойчивости, — тогда как четвёртая эмпирическая глава закрывает разрыв 4 посредством применения разработанной методики к панельным данным российских IT-компаний.</w:t>
      </w:r>
    </w:p>
    <w:p>
      <w:pPr>
        <w:pStyle w:val="Heading2"/>
        <w:spacing w:after="200" w:before="360" w:line="360" w:lineRule="auto"/>
        <w:jc w:val="left"/>
      </w:pPr>
      <w:r>
        <w:rPr>
          <w:rFonts w:ascii="Times New Roman" w:cs="Times New Roman" w:eastAsia="Times New Roman" w:hAnsi="Times New Roman"/>
          <w:b/>
          <w:bCs/>
          <w:sz w:val="28"/>
          <w:szCs w:val="28"/>
        </w:rPr>
        <w:t xml:space="preserve">1.11. Выводы по главе 1</w:t>
      </w:r>
    </w:p>
    <w:p>
      <w:pPr>
        <w:spacing w:after="160" w:before="0" w:line="360" w:lineRule="auto"/>
        <w:ind w:firstLine="709"/>
        <w:jc w:val="both"/>
      </w:pPr>
      <w:r>
        <w:rPr>
          <w:rFonts w:ascii="Times New Roman" w:cs="Times New Roman" w:eastAsia="Times New Roman" w:hAnsi="Times New Roman"/>
          <w:sz w:val="28"/>
          <w:szCs w:val="28"/>
        </w:rPr>
        <w:t xml:space="preserve">Проведённый в первой главе анализ позволяет сформулировать пять содержательных выводов, совокупность которых образует научное основание для разработки эконометрической методики, представляемой в третьей главе диссертации.</w:t>
      </w:r>
    </w:p>
    <w:p>
      <w:pPr>
        <w:spacing w:after="160" w:before="0" w:line="360" w:lineRule="auto"/>
        <w:ind w:firstLine="709"/>
        <w:jc w:val="both"/>
      </w:pPr>
      <w:r>
        <w:rPr>
          <w:rFonts w:ascii="Times New Roman" w:cs="Times New Roman" w:eastAsia="Times New Roman" w:hAnsi="Times New Roman"/>
          <w:sz w:val="28"/>
          <w:szCs w:val="28"/>
        </w:rPr>
        <w:t xml:space="preserve">Первое. Объект и предмет исследования, предварительно заданные темой диссертации, при сопоставлении с ранее разработанной эконометрической методикой уточнены и разграничены: объектом выступают процессы трансформации бизнес-моделей компаний российской IT-отрасли под влиянием санкционных ограничений, тогда как предметом — причинная зависимость между интенсивностью санкционной экспозиции компании и масштабом данной трансформации, а также совокупность экономико-статистических показателей и эконометрических моделей, посредством которых данная зависимость измеряется. Понятийный аппарат, необходимый для последующего анализа, определён последовательно от макрокатегории санкций через дифференцированный на уровне фирмы санкционный шок к предопределённой, измеряемой до наступления шока характеристике — санкционной экспозиции компании, — что образует понятийную предпосылку для причинной, а не только ассоциативной интерпретации последующих эмпирических результатов.</w:t>
      </w:r>
    </w:p>
    <w:p>
      <w:pPr>
        <w:spacing w:after="160" w:before="0" w:line="360" w:lineRule="auto"/>
        <w:ind w:firstLine="709"/>
        <w:jc w:val="both"/>
      </w:pPr>
      <w:r>
        <w:rPr>
          <w:rFonts w:ascii="Times New Roman" w:cs="Times New Roman" w:eastAsia="Times New Roman" w:hAnsi="Times New Roman"/>
          <w:sz w:val="28"/>
          <w:szCs w:val="28"/>
        </w:rPr>
        <w:t xml:space="preserve">Второе. Критическое сопоставление четырёх подходов к определению бизнес-модели — операционального (Osterwalder, Pigneur, 2010), системного (Zott, Amit, Massa, 2011), стратегического (Casadesus-Masanell, Ricart, 2010) и динамического (Teece, 2010) — привело к синтетическому рабочему определению, задающему единицу наблюдения, принцип агрегирования и источник эмпирических данных для последующей операционализации. Показано, что финансовые показатели результативности компании фиксируют результат её деятельности, но не способ создания, доставки и присвоения ценности, вследствие чего измерение трансформации бизнес-модели требует многомерной, а не одномерной операционализации, — вывод, образующий содержательную предпосылку для построения составного индекса в третьей главе.</w:t>
      </w:r>
    </w:p>
    <w:p>
      <w:pPr>
        <w:spacing w:after="160" w:before="0" w:line="360" w:lineRule="auto"/>
        <w:ind w:firstLine="709"/>
        <w:jc w:val="both"/>
      </w:pPr>
      <w:r>
        <w:rPr>
          <w:rFonts w:ascii="Times New Roman" w:cs="Times New Roman" w:eastAsia="Times New Roman" w:hAnsi="Times New Roman"/>
          <w:sz w:val="28"/>
          <w:szCs w:val="28"/>
        </w:rPr>
        <w:t xml:space="preserve">Третье. Сопоставление пяти теоретических традиций объяснения адаптации фирмы к внешнему шоку — ресурсного подхода, теории динамических способностей, организационной резильентности, стратегической гибкости и абсорбционной способности — показало, что теория динамических способностей обладает наибольшей объяснительной силой применительно к предмету настоящего исследования, поскольку единственная среди рассмотренных традиций напрямую связывает механизм seizing с пересмотром логики создания и присвоения ценности. Одновременно установлено, что перенос данной теории на специфический класс санкционного шока — дискретного, юридически оформленного и многокомпонентного по своей природе — представляет собой самостоятельную теоретическую задачу, решаемую конкретизацией микрооснóв sensing, seizing и transforming применительно к структуре санкционного воздействия.</w:t>
      </w:r>
    </w:p>
    <w:p>
      <w:pPr>
        <w:spacing w:after="160" w:before="0" w:line="360" w:lineRule="auto"/>
        <w:ind w:firstLine="709"/>
        <w:jc w:val="both"/>
      </w:pPr>
      <w:r>
        <w:rPr>
          <w:rFonts w:ascii="Times New Roman" w:cs="Times New Roman" w:eastAsia="Times New Roman" w:hAnsi="Times New Roman"/>
          <w:sz w:val="28"/>
          <w:szCs w:val="28"/>
        </w:rPr>
        <w:t xml:space="preserve">Четвёртое. Систематизированный обзор семи направлений литературы — макроэкономических и firm-level исследований санкций, исследований адаптации к внешним шокам, теории динамических способностей, исследований бизнес-моделей, количественных исследований трансформации бизнес-моделей и исследований российских IT-компаний — показал, что каждое направление в отдельности методологически состоятельно, однако их пересечение, необходимое для решения заявленной в диссертации задачи, эмпирически не заполнено. Российская IT-отрасль обоснована как содержательно значимый объект подобного анализа ввиду сочетания высокой технологической зависимости от зарубежных решений, наблюдаемой неоднородности реакции компаний на санкционный шок 2022 г. и последовательности двух исторически различных санкционных эпизодов — 2014 и 2022 гг., — сопровождавшихся качественно различным по масштабу государственным ответом.</w:t>
      </w:r>
    </w:p>
    <w:p>
      <w:pPr>
        <w:spacing w:after="160" w:before="0" w:line="360" w:lineRule="auto"/>
        <w:ind w:firstLine="709"/>
        <w:jc w:val="both"/>
      </w:pPr>
      <w:r>
        <w:rPr>
          <w:rFonts w:ascii="Times New Roman" w:cs="Times New Roman" w:eastAsia="Times New Roman" w:hAnsi="Times New Roman"/>
          <w:sz w:val="28"/>
          <w:szCs w:val="28"/>
        </w:rPr>
        <w:t xml:space="preserve">Пятое. На основании систематического обзора выявлены четыре логически связанных исследовательских разрыва: отсутствие строгого количественного индекса трансформации бизнес-модели; отсутствие переноса зрелой методологии причинного анализа санкционного воздействия с финансовых показателей на структурные характеристики бизнес-модели; отсутствие количественной операционализации теории динамических способностей применительно к специфически санкционному шоку; и отсутствие панельного эконометрического анализа с причинной идентификацией применительно к российским IT-компаниям. Совокупность данных разрывов обосновывает необходимость разработки собственной эконометрической методики, а не применения существующего инструментария в неизменном виде, поскольку ни один из рассмотренных методологических прецедентов не решает одновременно всех четырёх составляющих выявленного пробела.</w:t>
      </w:r>
    </w:p>
    <w:p>
      <w:pPr>
        <w:spacing w:after="160" w:before="0" w:line="360" w:lineRule="auto"/>
        <w:ind w:firstLine="709"/>
        <w:jc w:val="both"/>
      </w:pPr>
      <w:r>
        <w:rPr>
          <w:rFonts w:ascii="Times New Roman" w:cs="Times New Roman" w:eastAsia="Times New Roman" w:hAnsi="Times New Roman"/>
          <w:sz w:val="28"/>
          <w:szCs w:val="28"/>
        </w:rPr>
        <w:t xml:space="preserve">Полученные в первой главе результаты образуют непосредственную основу для второй и третьей глав диссертации. Рабочие определения санкционной экспозиции компании и трансформации бизнес-модели, обоснованные в разделах 1.2–1.4, задают содержательную границу для построения соответствующих индексов; выбор теории динамических способностей в качестве основной теоретической рамки, обоснованный в разделе 1.5, задаёт содержание причинного механизма, формализуемого в эконометрической спецификации; систематизированный обзор литературы и выявленный исследовательский пробел, представленные в разделах 1.9–1.10, определяют критерии, которым должна соответствовать разрабатываемая методика, — количественная операционализация трансформации бизнес-модели, применение причинной идентификации на уровне отдельной фирмы и специфическая адаптация к особенностям санкционного шока. Дальнейшее изложение отвечает на вопрос о том, каким образом данные требования реализуются в конкретной эконометрической методике: третья глава диссертации последовательно раскрывает построение индекса санкционной экспозиции компании и индекса трансформации бизнес-модели, спецификацию панельной модели с фиксированными эффектами, идентификацию причинного эффекта методом разности разностей и систему проверок устойчивости результатов, тогда как четвёртая глава применяет разработанную методику к эмпирическим данным российских IT-компаний.</w:t>
      </w:r>
    </w:p>
    <w:p>
      <w:pPr>
        <w:pStyle w:val="Heading2"/>
        <w:spacing w:after="200" w:before="360" w:line="360" w:lineRule="auto"/>
        <w:jc w:val="left"/>
      </w:pPr>
      <w:r>
        <w:rPr>
          <w:rFonts w:ascii="Times New Roman" w:cs="Times New Roman" w:eastAsia="Times New Roman" w:hAnsi="Times New Roman"/>
          <w:b/>
          <w:bCs/>
          <w:sz w:val="28"/>
          <w:szCs w:val="28"/>
        </w:rPr>
        <w:t xml:space="preserve">Список использованных источников</w:t>
      </w:r>
    </w:p>
    <w:p>
      <w:pPr>
        <w:spacing w:after="140" w:line="276" w:lineRule="auto"/>
        <w:ind w:left="480" w:hanging="480"/>
        <w:jc w:val="both"/>
      </w:pPr>
      <w:r>
        <w:rPr>
          <w:rFonts w:ascii="Times New Roman" w:cs="Times New Roman" w:eastAsia="Times New Roman" w:hAnsi="Times New Roman"/>
          <w:sz w:val="24"/>
          <w:szCs w:val="24"/>
        </w:rPr>
        <w:t xml:space="preserve">Ahn D. P., Ludema R. D. The sword and the shield: the economics of targeted sanctions // European Economic Review. 2020. Vol. 130. Art. 103587. DOI: 10.1016/j.euroecorev.2020.103587.</w:t>
      </w:r>
    </w:p>
    <w:p>
      <w:pPr>
        <w:spacing w:after="140" w:line="276" w:lineRule="auto"/>
        <w:ind w:left="480" w:hanging="480"/>
        <w:jc w:val="both"/>
      </w:pPr>
      <w:r>
        <w:rPr>
          <w:rFonts w:ascii="Times New Roman" w:cs="Times New Roman" w:eastAsia="Times New Roman" w:hAnsi="Times New Roman"/>
          <w:sz w:val="24"/>
          <w:szCs w:val="24"/>
        </w:rPr>
        <w:t xml:space="preserve">Barney J. Firm resources and sustained competitive advantage // Journal of Management. 1991. Vol. 17. No. 1. P. 99–120. DOI: 10.1177/014920639101700108.</w:t>
      </w:r>
    </w:p>
    <w:p>
      <w:pPr>
        <w:spacing w:after="140" w:line="276" w:lineRule="auto"/>
        <w:ind w:left="480" w:hanging="480"/>
        <w:jc w:val="both"/>
      </w:pPr>
      <w:r>
        <w:rPr>
          <w:rFonts w:ascii="Times New Roman" w:cs="Times New Roman" w:eastAsia="Times New Roman" w:hAnsi="Times New Roman"/>
          <w:sz w:val="24"/>
          <w:szCs w:val="24"/>
        </w:rPr>
        <w:t xml:space="preserve">Besedeš T., Goldbach S., Nitsch V. Cheap talk? Financial sanctions and non-financial firms // European Economic Review. 2021. Vol. 134. Art. 103688. DOI: 10.1016/j.euroecorev.2021.103688.</w:t>
      </w:r>
    </w:p>
    <w:p>
      <w:pPr>
        <w:spacing w:after="140" w:line="276" w:lineRule="auto"/>
        <w:ind w:left="480" w:hanging="480"/>
        <w:jc w:val="both"/>
      </w:pPr>
      <w:r>
        <w:rPr>
          <w:rFonts w:ascii="Times New Roman" w:cs="Times New Roman" w:eastAsia="Times New Roman" w:hAnsi="Times New Roman"/>
          <w:sz w:val="24"/>
          <w:szCs w:val="24"/>
        </w:rPr>
        <w:t xml:space="preserve">Casadesus-Masanell R., Ricart J. E. From strategy to business models and onto tactics // Long Range Planning. 2010. Vol. 43. No. 2–3. P. 195–215. DOI: 10.1016/j.lrp.2010.01.004.</w:t>
      </w:r>
    </w:p>
    <w:p>
      <w:pPr>
        <w:spacing w:after="140" w:line="276" w:lineRule="auto"/>
        <w:ind w:left="480" w:hanging="480"/>
        <w:jc w:val="both"/>
      </w:pPr>
      <w:r>
        <w:rPr>
          <w:rFonts w:ascii="Times New Roman" w:cs="Times New Roman" w:eastAsia="Times New Roman" w:hAnsi="Times New Roman"/>
          <w:sz w:val="24"/>
          <w:szCs w:val="24"/>
        </w:rPr>
        <w:t xml:space="preserve">Cohen W. M., Levinthal D. A. Absorptive capacity: a new perspective on learning and innovation // Administrative Science Quarterly. 1990. Vol. 35. No. 1. P. 128–152. DOI: 10.2307/2393553.</w:t>
      </w:r>
    </w:p>
    <w:p>
      <w:pPr>
        <w:spacing w:after="140" w:line="276" w:lineRule="auto"/>
        <w:ind w:left="480" w:hanging="480"/>
        <w:jc w:val="both"/>
      </w:pPr>
      <w:r>
        <w:rPr>
          <w:rFonts w:ascii="Times New Roman" w:cs="Times New Roman" w:eastAsia="Times New Roman" w:hAnsi="Times New Roman"/>
          <w:sz w:val="24"/>
          <w:szCs w:val="24"/>
        </w:rPr>
        <w:t xml:space="preserve">Crozet M., Hinz J. Friendly fire: the trade impact of the Russia sanctions and counter-sanctions // Economic Policy. 2020. Vol. 35. No. 101. P. 97–146. DOI: 10.1093/epolic/eiaa006.</w:t>
      </w:r>
    </w:p>
    <w:p>
      <w:pPr>
        <w:spacing w:after="140" w:line="276" w:lineRule="auto"/>
        <w:ind w:left="480" w:hanging="480"/>
        <w:jc w:val="both"/>
      </w:pPr>
      <w:r>
        <w:rPr>
          <w:rFonts w:ascii="Times New Roman" w:cs="Times New Roman" w:eastAsia="Times New Roman" w:hAnsi="Times New Roman"/>
          <w:sz w:val="24"/>
          <w:szCs w:val="24"/>
        </w:rPr>
        <w:t xml:space="preserve">Dejardin M., Raposo M. L., Ferreira J. J. M., Fernandes C. I., Veiga P. M., Farinha L. The impact of dynamic capabilities on SME performance during COVID-19 // Review of Managerial Science. 2022. Vol. 17. No. 5. P. 1703–1729. DOI: 10.1007/s11846-022-00569-x.</w:t>
      </w:r>
    </w:p>
    <w:p>
      <w:pPr>
        <w:spacing w:after="140" w:line="276" w:lineRule="auto"/>
        <w:ind w:left="480" w:hanging="480"/>
        <w:jc w:val="both"/>
      </w:pPr>
      <w:r>
        <w:rPr>
          <w:rFonts w:ascii="Times New Roman" w:cs="Times New Roman" w:eastAsia="Times New Roman" w:hAnsi="Times New Roman"/>
          <w:sz w:val="24"/>
          <w:szCs w:val="24"/>
        </w:rPr>
        <w:t xml:space="preserve">Dobrynina P., Grishunin S. The impact of sanctions on the financial performance and creditworthiness of Russian non-financial companies // Procedia Computer Science. 2025. Vol. 266.</w:t>
      </w:r>
    </w:p>
    <w:p>
      <w:pPr>
        <w:spacing w:after="140" w:line="276" w:lineRule="auto"/>
        <w:ind w:left="480" w:hanging="480"/>
        <w:jc w:val="both"/>
      </w:pPr>
      <w:r>
        <w:rPr>
          <w:rFonts w:ascii="Times New Roman" w:cs="Times New Roman" w:eastAsia="Times New Roman" w:hAnsi="Times New Roman"/>
          <w:sz w:val="24"/>
          <w:szCs w:val="24"/>
        </w:rPr>
        <w:t xml:space="preserve">Duchek S. Organizational resilience: a capability-based conceptualization // Business Research. 2020. Vol. 13. No. 1. P. 215–246. DOI: 10.1007/s40685-019-0085-7.</w:t>
      </w:r>
    </w:p>
    <w:p>
      <w:pPr>
        <w:spacing w:after="140" w:line="276" w:lineRule="auto"/>
        <w:ind w:left="480" w:hanging="480"/>
        <w:jc w:val="both"/>
      </w:pPr>
      <w:r>
        <w:rPr>
          <w:rFonts w:ascii="Times New Roman" w:cs="Times New Roman" w:eastAsia="Times New Roman" w:hAnsi="Times New Roman"/>
          <w:sz w:val="24"/>
          <w:szCs w:val="24"/>
        </w:rPr>
        <w:t xml:space="preserve">Felbermayr G., Kirilakha A., Syropoulos C., Yalcin E., Yotov Y. V. The global sanctions data base // European Economic Review. 2020. Vol. 129. Art. 103561. DOI: 10.1016/j.euroecorev.2020.103561.</w:t>
      </w:r>
    </w:p>
    <w:p>
      <w:pPr>
        <w:spacing w:after="140" w:line="276" w:lineRule="auto"/>
        <w:ind w:left="480" w:hanging="480"/>
        <w:jc w:val="both"/>
      </w:pPr>
      <w:r>
        <w:rPr>
          <w:rFonts w:ascii="Times New Roman" w:cs="Times New Roman" w:eastAsia="Times New Roman" w:hAnsi="Times New Roman"/>
          <w:sz w:val="24"/>
          <w:szCs w:val="24"/>
        </w:rPr>
        <w:t xml:space="preserve">Foss N. J., Saebi T. Fifteen years of research on business model innovation: how far have we come, and where should we go? // Journal of Management. 2017. Vol. 43. No. 1. P. 200–227. DOI: 10.1177/0149206316675927.</w:t>
      </w:r>
    </w:p>
    <w:p>
      <w:pPr>
        <w:spacing w:after="140" w:line="276" w:lineRule="auto"/>
        <w:ind w:left="480" w:hanging="480"/>
        <w:jc w:val="both"/>
      </w:pPr>
      <w:r>
        <w:rPr>
          <w:rFonts w:ascii="Times New Roman" w:cs="Times New Roman" w:eastAsia="Times New Roman" w:hAnsi="Times New Roman"/>
          <w:sz w:val="24"/>
          <w:szCs w:val="24"/>
        </w:rPr>
        <w:t xml:space="preserve">Goldsmith-Pinkham P., Sorkin I., Swift H. Bartik instruments: what, when, why, and how // American Economic Review. 2020. Vol. 110. No. 8. P. 2586–2624. DOI: 10.1257/aer.20181047.</w:t>
      </w:r>
    </w:p>
    <w:p>
      <w:pPr>
        <w:spacing w:after="140" w:line="276" w:lineRule="auto"/>
        <w:ind w:left="480" w:hanging="480"/>
        <w:jc w:val="both"/>
      </w:pPr>
      <w:r>
        <w:rPr>
          <w:rFonts w:ascii="Times New Roman" w:cs="Times New Roman" w:eastAsia="Times New Roman" w:hAnsi="Times New Roman"/>
          <w:sz w:val="24"/>
          <w:szCs w:val="24"/>
        </w:rPr>
        <w:t xml:space="preserve">Hufbauer G. C., Schott J. J., Elliott K. A., Oegg B. Economic Sanctions Reconsidered. 3rd ed. Washington, DC: Peterson Institute for International Economics, 2007. 233 p.</w:t>
      </w:r>
    </w:p>
    <w:p>
      <w:pPr>
        <w:spacing w:after="140" w:line="276" w:lineRule="auto"/>
        <w:ind w:left="480" w:hanging="480"/>
        <w:jc w:val="both"/>
      </w:pPr>
      <w:r>
        <w:rPr>
          <w:rFonts w:ascii="Times New Roman" w:cs="Times New Roman" w:eastAsia="Times New Roman" w:hAnsi="Times New Roman"/>
          <w:sz w:val="24"/>
          <w:szCs w:val="24"/>
        </w:rPr>
        <w:t xml:space="preserve">Huynh L. D. T., Hoang K., Ongena S. The Impact of Foreign Sanctions on Firm Performance in Russia. CEPR Discussion Paper No. 17415. London: Centre for Economic Policy Research, 2022.</w:t>
      </w:r>
    </w:p>
    <w:p>
      <w:pPr>
        <w:spacing w:after="140" w:line="276" w:lineRule="auto"/>
        <w:ind w:left="480" w:hanging="480"/>
        <w:jc w:val="both"/>
      </w:pPr>
      <w:r>
        <w:rPr>
          <w:rFonts w:ascii="Times New Roman" w:cs="Times New Roman" w:eastAsia="Times New Roman" w:hAnsi="Times New Roman"/>
          <w:sz w:val="24"/>
          <w:szCs w:val="24"/>
        </w:rPr>
        <w:t xml:space="preserve">Kuzyk M. G., Simachev Yu. V. Strategies of Russian companies to adapt to the 2022 sanctions // Journal of the New Economic Association. 2023. No. 3. P. 172–180. DOI: 10.31737/22212264_2023_3_172-180.</w:t>
      </w:r>
    </w:p>
    <w:p>
      <w:pPr>
        <w:spacing w:after="140" w:line="276" w:lineRule="auto"/>
        <w:ind w:left="480" w:hanging="480"/>
        <w:jc w:val="both"/>
      </w:pPr>
      <w:r>
        <w:rPr>
          <w:rFonts w:ascii="Times New Roman" w:cs="Times New Roman" w:eastAsia="Times New Roman" w:hAnsi="Times New Roman"/>
          <w:sz w:val="24"/>
          <w:szCs w:val="24"/>
        </w:rPr>
        <w:t xml:space="preserve">Lee H.-S., Kumo K. The impact of sanctions on firms' financial performance in Russia // Eurasian Business Review. 2025. DOI: 10.1007/s40821-025-00337-3.</w:t>
      </w:r>
    </w:p>
    <w:p>
      <w:pPr>
        <w:spacing w:after="140" w:line="276" w:lineRule="auto"/>
        <w:ind w:left="480" w:hanging="480"/>
        <w:jc w:val="both"/>
      </w:pPr>
      <w:r>
        <w:rPr>
          <w:rFonts w:ascii="Times New Roman" w:cs="Times New Roman" w:eastAsia="Times New Roman" w:hAnsi="Times New Roman"/>
          <w:sz w:val="24"/>
          <w:szCs w:val="24"/>
        </w:rPr>
        <w:t xml:space="preserve">Lin X., Zhang P., Yang Z., Chen S. US sanctions and corporate innovation: evidence from Chinese listed firms // International Review of Economics &amp; Finance. 2025. Vol. 98. Art. 103935. DOI: 10.1016/j.iref.2025.103935.</w:t>
      </w:r>
    </w:p>
    <w:p>
      <w:pPr>
        <w:spacing w:after="140" w:line="276" w:lineRule="auto"/>
        <w:ind w:left="480" w:hanging="480"/>
        <w:jc w:val="both"/>
      </w:pPr>
      <w:r>
        <w:rPr>
          <w:rFonts w:ascii="Times New Roman" w:cs="Times New Roman" w:eastAsia="Times New Roman" w:hAnsi="Times New Roman"/>
          <w:sz w:val="24"/>
          <w:szCs w:val="24"/>
        </w:rPr>
        <w:t xml:space="preserve">Neuenkirch M., Neumeier F. The impact of UN and US economic sanctions on GDP growth // European Journal of Political Economy. 2015. Vol. 40. Part A. P. 110–125. DOI: 10.1016/j.ejpoleco.2015.09.001.</w:t>
      </w:r>
    </w:p>
    <w:p>
      <w:pPr>
        <w:spacing w:after="140" w:line="276" w:lineRule="auto"/>
        <w:ind w:left="480" w:hanging="480"/>
        <w:jc w:val="both"/>
      </w:pPr>
      <w:r>
        <w:rPr>
          <w:rFonts w:ascii="Times New Roman" w:cs="Times New Roman" w:eastAsia="Times New Roman" w:hAnsi="Times New Roman"/>
          <w:sz w:val="24"/>
          <w:szCs w:val="24"/>
        </w:rPr>
        <w:t xml:space="preserve">Osterwalder A., Pigneur Y. Business Model Generation: A Handbook for Visionaries, Game Changers, and Challengers. Hoboken, NJ: John Wiley &amp; Sons, 2010. 288 p.</w:t>
      </w:r>
    </w:p>
    <w:p>
      <w:pPr>
        <w:spacing w:after="140" w:line="276" w:lineRule="auto"/>
        <w:ind w:left="480" w:hanging="480"/>
        <w:jc w:val="both"/>
      </w:pPr>
      <w:r>
        <w:rPr>
          <w:rFonts w:ascii="Times New Roman" w:cs="Times New Roman" w:eastAsia="Times New Roman" w:hAnsi="Times New Roman"/>
          <w:sz w:val="24"/>
          <w:szCs w:val="24"/>
        </w:rPr>
        <w:t xml:space="preserve">Peñarroya-Farell M., Miralles F. Business model adaptation to the COVID-19 crisis: strategic response of the Spanish cultural and creative firms // Journal of Open Innovation: Technology, Market, and Complexity. 2022. Vol. 8. No. 1. Art. 39. DOI: 10.3390/joitmc8010039.</w:t>
      </w:r>
    </w:p>
    <w:p>
      <w:pPr>
        <w:spacing w:after="140" w:line="276" w:lineRule="auto"/>
        <w:ind w:left="480" w:hanging="480"/>
        <w:jc w:val="both"/>
      </w:pPr>
      <w:r>
        <w:rPr>
          <w:rFonts w:ascii="Times New Roman" w:cs="Times New Roman" w:eastAsia="Times New Roman" w:hAnsi="Times New Roman"/>
          <w:sz w:val="24"/>
          <w:szCs w:val="24"/>
        </w:rPr>
        <w:t xml:space="preserve">Radic M., Herrmann P., Haberland P., Riese C. R. Development of a business model resilience framework for managers and strategic decision-makers // Schmalenbach Journal of Business Research. 2022. Vol. 74. No. 4. P. 575–601. DOI: 10.1007/s41471-022-00135-x.</w:t>
      </w:r>
    </w:p>
    <w:p>
      <w:pPr>
        <w:spacing w:after="140" w:line="276" w:lineRule="auto"/>
        <w:ind w:left="480" w:hanging="480"/>
        <w:jc w:val="both"/>
      </w:pPr>
      <w:r>
        <w:rPr>
          <w:rFonts w:ascii="Times New Roman" w:cs="Times New Roman" w:eastAsia="Times New Roman" w:hAnsi="Times New Roman"/>
          <w:sz w:val="24"/>
          <w:szCs w:val="24"/>
        </w:rPr>
        <w:t xml:space="preserve">Sahebalzamani S., Jørgensen E. J. B., Bertella G., Nilsen E. R. A dynamic capabilities approach to business model innovation in times of crisis // Tourism Planning &amp; Development. 2022. Vol. 20. P. 138–161. DOI: 10.1080/21568316.2022.2107560.</w:t>
      </w:r>
    </w:p>
    <w:p>
      <w:pPr>
        <w:spacing w:after="140" w:line="276" w:lineRule="auto"/>
        <w:ind w:left="480" w:hanging="480"/>
        <w:jc w:val="both"/>
      </w:pPr>
      <w:r>
        <w:rPr>
          <w:rFonts w:ascii="Times New Roman" w:cs="Times New Roman" w:eastAsia="Times New Roman" w:hAnsi="Times New Roman"/>
          <w:sz w:val="24"/>
          <w:szCs w:val="24"/>
        </w:rPr>
        <w:t xml:space="preserve">Sanchez R. Strategic flexibility in product competition // Strategic Management Journal. 1995. Vol. 16. Special Issue. P. 135–159. DOI: 10.1002/smj.4250160921.</w:t>
      </w:r>
    </w:p>
    <w:p>
      <w:pPr>
        <w:spacing w:after="140" w:line="276" w:lineRule="auto"/>
        <w:ind w:left="480" w:hanging="480"/>
        <w:jc w:val="both"/>
      </w:pPr>
      <w:r>
        <w:rPr>
          <w:rFonts w:ascii="Times New Roman" w:cs="Times New Roman" w:eastAsia="Times New Roman" w:hAnsi="Times New Roman"/>
          <w:sz w:val="24"/>
          <w:szCs w:val="24"/>
        </w:rPr>
        <w:t xml:space="preserve">Teece D. J. Explicating dynamic capabilities: the nature and microfoundations of (sustainable) enterprise performance // Strategic Management Journal. 2007. Vol. 28. No. 13. P. 1319–1350. DOI: 10.1002/smj.640.</w:t>
      </w:r>
    </w:p>
    <w:p>
      <w:pPr>
        <w:spacing w:after="140" w:line="276" w:lineRule="auto"/>
        <w:ind w:left="480" w:hanging="480"/>
        <w:jc w:val="both"/>
      </w:pPr>
      <w:r>
        <w:rPr>
          <w:rFonts w:ascii="Times New Roman" w:cs="Times New Roman" w:eastAsia="Times New Roman" w:hAnsi="Times New Roman"/>
          <w:sz w:val="24"/>
          <w:szCs w:val="24"/>
        </w:rPr>
        <w:t xml:space="preserve">Teece D. J. Business models, business strategy and innovation // Long Range Planning. 2010. Vol. 43. No. 2–3. P. 172–194. DOI: 10.1016/j.lrp.2009.07.003.</w:t>
      </w:r>
    </w:p>
    <w:p>
      <w:pPr>
        <w:spacing w:after="140" w:line="276" w:lineRule="auto"/>
        <w:ind w:left="480" w:hanging="480"/>
        <w:jc w:val="both"/>
      </w:pPr>
      <w:r>
        <w:rPr>
          <w:rFonts w:ascii="Times New Roman" w:cs="Times New Roman" w:eastAsia="Times New Roman" w:hAnsi="Times New Roman"/>
          <w:sz w:val="24"/>
          <w:szCs w:val="24"/>
        </w:rPr>
        <w:t xml:space="preserve">Teece D. J., Pisano G., Shuen A. Dynamic capabilities and strategic management // Strategic Management Journal. 1997. Vol. 18. No. 7. P. 509–533. DOI: 10.1002/(SICI)1097-0266(199708)18:7&lt;509::AID-SMJ882&gt;3.0.CO;2-Z.</w:t>
      </w:r>
    </w:p>
    <w:p>
      <w:pPr>
        <w:spacing w:after="140" w:line="276" w:lineRule="auto"/>
        <w:ind w:left="480" w:hanging="480"/>
        <w:jc w:val="both"/>
      </w:pPr>
      <w:r>
        <w:rPr>
          <w:rFonts w:ascii="Times New Roman" w:cs="Times New Roman" w:eastAsia="Times New Roman" w:hAnsi="Times New Roman"/>
          <w:sz w:val="24"/>
          <w:szCs w:val="24"/>
        </w:rPr>
        <w:t xml:space="preserve">Wernerfelt B. A resource-based view of the firm // Strategic Management Journal. 1984. Vol. 5. No. 2. P. 171–180. DOI: 10.1002/smj.4250050207.</w:t>
      </w:r>
    </w:p>
    <w:p>
      <w:pPr>
        <w:spacing w:after="140" w:line="276" w:lineRule="auto"/>
        <w:ind w:left="480" w:hanging="480"/>
        <w:jc w:val="both"/>
      </w:pPr>
      <w:r>
        <w:rPr>
          <w:rFonts w:ascii="Times New Roman" w:cs="Times New Roman" w:eastAsia="Times New Roman" w:hAnsi="Times New Roman"/>
          <w:sz w:val="24"/>
          <w:szCs w:val="24"/>
        </w:rPr>
        <w:t xml:space="preserve">Yalcin E., Felbermayr G., Kariem H., Kirilakha A., Kwon O., Syropoulos C., Yotov Y. V. The Global Sanctions Data Base — Release 4: the heterogeneous effects of the sanctions on Russia // The World Economy. 2025. Vol. 48. No. 9. P. 2003–2017. DOI: 10.1111/twec.13732.</w:t>
      </w:r>
    </w:p>
    <w:p>
      <w:pPr>
        <w:spacing w:after="140" w:line="276" w:lineRule="auto"/>
        <w:ind w:left="480" w:hanging="480"/>
        <w:jc w:val="both"/>
      </w:pPr>
      <w:r>
        <w:rPr>
          <w:rFonts w:ascii="Times New Roman" w:cs="Times New Roman" w:eastAsia="Times New Roman" w:hAnsi="Times New Roman"/>
          <w:sz w:val="24"/>
          <w:szCs w:val="24"/>
        </w:rPr>
        <w:t xml:space="preserve">Zott C., Amit R., Massa L. The business model: recent developments and future research // Journal of Management. 2011. Vol. 37. No. 4. P. 1019–1042. DOI: 10.1177/0149206311406265.</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1. Теоретические основы и исследовательская проблема эконометрической оценки влияния санкционных шоков на трансформацию бизнес-модели IT-компаний</dc:title>
  <dc:creator>Автор диссертационного исследования</dc:creator>
  <cp:lastModifiedBy>Un-named</cp:lastModifiedBy>
  <cp:revision>1</cp:revision>
  <dcterms:created xsi:type="dcterms:W3CDTF">2026-09-03T16:52:50.990Z</dcterms:created>
  <dcterms:modified xsi:type="dcterms:W3CDTF">2026-09-03T16:52:51.005Z</dcterms:modified>
</cp:coreProperties>
</file>

<file path=docProps/custom.xml><?xml version="1.0" encoding="utf-8"?>
<Properties xmlns="http://schemas.openxmlformats.org/officeDocument/2006/custom-properties" xmlns:vt="http://schemas.openxmlformats.org/officeDocument/2006/docPropsVTypes"/>
</file>