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16E" w:rsidRDefault="0038716E" w:rsidP="0038716E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CA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CA"/>
        </w:rPr>
        <w:drawing>
          <wp:inline distT="0" distB="0" distL="0" distR="0" wp14:anchorId="6062DCF1" wp14:editId="4BC2E6FC">
            <wp:extent cx="3572320" cy="835864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ue cap  ALL black - jul 10 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7" t="35093" r="8967" b="30058"/>
                    <a:stretch/>
                  </pic:blipFill>
                  <pic:spPr bwMode="auto">
                    <a:xfrm>
                      <a:off x="0" y="0"/>
                      <a:ext cx="3591971" cy="840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1434" w:rsidRPr="00621434" w:rsidRDefault="00621434" w:rsidP="00621434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Blue Capital Equipment Finance &amp; Leasing</w:t>
      </w:r>
    </w:p>
    <w:p w:rsidR="00621434" w:rsidRPr="00621434" w:rsidRDefault="00621434" w:rsidP="008C2E8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We finance mission-c</w:t>
      </w:r>
      <w:r w:rsidR="00D377A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ritical equipment across Canada - 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transportation, construction, manufacturi</w:t>
      </w:r>
      <w:r w:rsidR="00D377A0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ng, agriculture, and healthcare - </w:t>
      </w:r>
      <w:bookmarkStart w:id="0" w:name="_GoBack"/>
      <w:bookmarkEnd w:id="0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with conservative underwriting, hard collateral, and real-time controls that protect capital</w:t>
      </w:r>
      <w:r w:rsidR="000B78B4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621434" w:rsidRPr="00621434" w:rsidRDefault="0057319F" w:rsidP="0062143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5" style="width:0;height:1.5pt" o:hralign="center" o:hrstd="t" o:hr="t" fillcolor="#a0a0a0" stroked="f"/>
        </w:pict>
      </w:r>
    </w:p>
    <w:p w:rsidR="00621434" w:rsidRPr="00621434" w:rsidRDefault="00F524CF" w:rsidP="0062143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1</w:t>
      </w:r>
      <w:r w:rsidR="00621434" w:rsidRPr="0062143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 Why this market is attractive (Canada-only)</w:t>
      </w:r>
    </w:p>
    <w:p w:rsidR="00621434" w:rsidRPr="00621434" w:rsidRDefault="00621434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Large, durable spend on machinery &amp; equipment (M&amp;E).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Businesses in Canada plan to invest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C$132.3B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machinery &amp; equipment in 2025—ample room for secured financing to scale responsibly.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Sector demand snapshots (Canada):</w:t>
      </w:r>
    </w:p>
    <w:p w:rsidR="00621434" w:rsidRPr="00621434" w:rsidRDefault="00621434" w:rsidP="0062143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Transportation (leasing/rental):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Commercial &amp; industrial machinery/equipment rental &amp; leasing generated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C$17.5B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operating revenue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in 2023 (NAICS 5324). While BCEF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is a financier/lessor (not a rental house), this revenue base signals sustained end-user demand for financed assets.</w:t>
      </w:r>
    </w:p>
    <w:p w:rsidR="00621434" w:rsidRPr="00621434" w:rsidRDefault="00621434" w:rsidP="0062143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Construction equipment: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Canada’s construction equipment market is commonly sized in the low single-digit billions; reputable industry sources estimate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~US$3–4B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market value mid-decade (methodologies vary). We treat these as directional scale indicators rather than exact financeable volume.</w:t>
      </w:r>
    </w:p>
    <w:p w:rsidR="00621434" w:rsidRPr="00621434" w:rsidRDefault="00621434" w:rsidP="0062143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Manufacturing: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manufacturing sector’s total revenue reached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C$935.6B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2023—modernization pressures keep capex needs persistent (automation, CNC, robotics), creating steady demand for equipment finance.</w:t>
      </w:r>
    </w:p>
    <w:p w:rsidR="00621434" w:rsidRPr="00621434" w:rsidRDefault="00621434" w:rsidP="0062143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Agriculture machinery: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Canada’s farm equipment market is sizable (est.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US$8.3–8.4B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2024), though near-term unit sales are soft; producers are delaying some purchases—reinforcing the role for flexible leasing structures.</w:t>
      </w:r>
    </w:p>
    <w:p w:rsidR="00621434" w:rsidRPr="00621434" w:rsidRDefault="00621434" w:rsidP="0062143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Healthcare/medical devices: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Canada’s medical device market was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~US$10.06B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2024, underpinned by hospitals and clinics refreshing diagnostic and therapeutic technology—an ideal fit for lease/selective finance with strong site controls.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Macro guardrails.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We acknowledge Canada’s investment/productivity headwinds and under-investment in productive capital—our credit box is built to stay conservative through cycles.</w:t>
      </w:r>
    </w:p>
    <w:p w:rsidR="00621434" w:rsidRPr="00621434" w:rsidRDefault="0057319F" w:rsidP="0062143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6" style="width:0;height:1.5pt" o:hralign="center" o:hrstd="t" o:hr="t" fillcolor="#a0a0a0" stroked="f"/>
        </w:pict>
      </w:r>
    </w:p>
    <w:p w:rsidR="00621434" w:rsidRPr="00621434" w:rsidRDefault="00F524CF" w:rsidP="0062143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2</w:t>
      </w:r>
      <w:r w:rsidR="00621434" w:rsidRPr="0062143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 What Blue Capital finances (illustrative, not exhaustive)</w:t>
      </w:r>
    </w:p>
    <w:p w:rsidR="00621434" w:rsidRPr="00621434" w:rsidRDefault="00621434" w:rsidP="0062143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Transportation: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tractors (on-/off-highway), vocational trucks, trailers, reefers, intermodal chassis, coach &amp; shuttle, material-handling.</w:t>
      </w:r>
    </w:p>
    <w:p w:rsidR="00621434" w:rsidRPr="00621434" w:rsidRDefault="00621434" w:rsidP="0062143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Construction: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excavators, loaders, dozers, graders, compactors, cranes, aerials, pumps,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gensets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, attachments.</w:t>
      </w:r>
    </w:p>
    <w:p w:rsidR="00621434" w:rsidRPr="00621434" w:rsidRDefault="00621434" w:rsidP="0062143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Manufacturing: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CNC machines, presses, robotics, packaging lines, compressors, boilers, chillers, forklifts.</w:t>
      </w:r>
    </w:p>
    <w:p w:rsidR="00621434" w:rsidRPr="00621434" w:rsidRDefault="00621434" w:rsidP="0062143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Agriculture: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tractors, combines, sprayers, grain handling, hay tools, irrigation systems.</w:t>
      </w:r>
    </w:p>
    <w:p w:rsidR="00621434" w:rsidRPr="00621434" w:rsidRDefault="00621434" w:rsidP="0062143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Healthcare: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imaging (CT/MR/US), sterilizers, lab analyzers, surgical tables/lights, dental/vision chairs, clinic IT.</w:t>
      </w:r>
    </w:p>
    <w:p w:rsidR="00621434" w:rsidRDefault="00621434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(We tailor lease/finance structures by asset class, useful life, and secondary-market liquidity.)</w:t>
      </w:r>
    </w:p>
    <w:p w:rsidR="00621434" w:rsidRDefault="006F56AB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7" style="width:0;height:1.5pt" o:hralign="center" o:hrstd="t" o:hr="t" fillcolor="#a0a0a0" stroked="f"/>
        </w:pict>
      </w:r>
    </w:p>
    <w:p w:rsidR="00621434" w:rsidRDefault="00621434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621434" w:rsidRDefault="00621434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621434" w:rsidRPr="000F5F46" w:rsidRDefault="00621434" w:rsidP="000F5F4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621434" w:rsidRPr="00621434" w:rsidRDefault="00F524CF" w:rsidP="0062143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3</w:t>
      </w:r>
      <w:r w:rsidR="00621434" w:rsidRPr="0062143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 How we protect capital (hard-control framework, by asset type)</w:t>
      </w:r>
    </w:p>
    <w:p w:rsidR="00621434" w:rsidRPr="00621434" w:rsidRDefault="00621434" w:rsidP="0062143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A. Controls that apply to all assets</w:t>
      </w:r>
    </w:p>
    <w:p w:rsidR="00621434" w:rsidRPr="00621434" w:rsidRDefault="00621434" w:rsidP="0062143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First-priority security interest.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We perfect a security interest under the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Personal Property Security Act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the province(s) where the collateral is located, supported by serial-numbered registrations for serial-numbered goods and purchase-money security interests (PMSIs) where applicable.</w:t>
      </w:r>
    </w:p>
    <w:p w:rsidR="00621434" w:rsidRPr="00621434" w:rsidRDefault="00621434" w:rsidP="0062143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Insurance &amp; loss-payee.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Physical damage/theft and (where appropriate) business interruption; lender named as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loss payee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additional insured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; evidence tracked before funding.</w:t>
      </w:r>
    </w:p>
    <w:p w:rsidR="00621434" w:rsidRPr="00621434" w:rsidRDefault="00621434" w:rsidP="0062143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Delivery &amp; Acceptance (D&amp;A).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We fund only after signed D&amp;A, installation verification (if applicable), photos/serial audit, and (for fixed installs) commissioning report.</w:t>
      </w:r>
    </w:p>
    <w:p w:rsidR="00621434" w:rsidRPr="00621434" w:rsidRDefault="00621434" w:rsidP="0062143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Landlord waiver / collateral access (for installs on leased premises).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Where equipment is installed in leased sites (manufacturing cells, diagnostic suites), we use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landlord waivers/collateral access agreements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granting entry and removal rights in default.</w:t>
      </w:r>
    </w:p>
    <w:p w:rsidR="00621434" w:rsidRPr="00621434" w:rsidRDefault="00621434" w:rsidP="0062143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Vendor due diligence.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Approved vendors/OEMs, verified serials, verified warranty and service terms; no funding of pro-forma “soft adders” without documentation.</w:t>
      </w:r>
    </w:p>
    <w:p w:rsidR="00621434" w:rsidRDefault="00621434" w:rsidP="0062143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Payment automation &amp; covenants.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PAD/ETF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autopay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, financial reporting (scaled by exposure), maintenance/usage covenants, and audit rights.</w:t>
      </w:r>
    </w:p>
    <w:p w:rsidR="00EA5173" w:rsidRDefault="00EA5173" w:rsidP="00EA51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EA5173" w:rsidRPr="00621434" w:rsidRDefault="00EA5173" w:rsidP="00EA51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621434" w:rsidRPr="00621434" w:rsidRDefault="00621434" w:rsidP="0062143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B. Powered/mobile assets (engines: trucks, heavy equipment, farm machines)</w:t>
      </w:r>
    </w:p>
    <w:p w:rsidR="00621434" w:rsidRPr="00621434" w:rsidRDefault="00621434" w:rsidP="0062143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OEM telematics tie-ins.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We prefer assets with native telematics (e.g.,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Cat </w:t>
      </w:r>
      <w:proofErr w:type="spellStart"/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VisionLink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Komatsu KOMTRAX/My Komatsu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John Deere </w:t>
      </w:r>
      <w:proofErr w:type="spellStart"/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JDLink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) or add devices for 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 xml:space="preserve">location/usage. This enables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24/7 location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hour/mileage, fault codes, and </w:t>
      </w:r>
      <w:proofErr w:type="spellStart"/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geofence</w:t>
      </w:r>
      <w:proofErr w:type="spellEnd"/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alerts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621434" w:rsidRPr="00621434" w:rsidRDefault="00621434" w:rsidP="0062143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Remote disable / </w:t>
      </w:r>
      <w:proofErr w:type="spellStart"/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derate</w:t>
      </w:r>
      <w:proofErr w:type="spellEnd"/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(where legal &amp; in-contract).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Certain OEM systems support remote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disable/</w:t>
      </w:r>
      <w:proofErr w:type="spellStart"/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derate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. We use this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only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where provincial law and the contract permit, with documented notice/cure steps. </w:t>
      </w:r>
    </w:p>
    <w:p w:rsidR="00621434" w:rsidRPr="00621434" w:rsidRDefault="00621434" w:rsidP="0062143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Utilization-aligned structures.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Hour caps/overage fees and maintenance compliance leverage telematics data to catch deterioration early.</w:t>
      </w:r>
    </w:p>
    <w:p w:rsidR="00621434" w:rsidRPr="00621434" w:rsidRDefault="00621434" w:rsidP="0062143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Field recovery playbook.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Verified location → safe-site pickup protocol with insured agents; minimize downtime and damage.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C. Unpowered/mobile assets (trailers, tanks, large implements)</w:t>
      </w:r>
    </w:p>
    <w:p w:rsidR="00621434" w:rsidRPr="00621434" w:rsidRDefault="00621434" w:rsidP="0062143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Battery/solar GPS asset tags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with tamper alerts and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geofences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yards, farms, or jobsites; perimeter breach = immediate contact and escalation.</w:t>
      </w:r>
    </w:p>
    <w:p w:rsidR="00621434" w:rsidRPr="00621434" w:rsidRDefault="00621434" w:rsidP="0062143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Physical deterrents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(pin locks, wheel locks, kingpin locks as applicable) required for higher-risk environments.</w:t>
      </w:r>
    </w:p>
    <w:p w:rsidR="00621434" w:rsidRPr="00621434" w:rsidRDefault="00621434" w:rsidP="0062143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Rapid redeployment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terms to move assets quickly post-recovery.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D. Stationary/installed assets (manufacturing cells, imaging suites, lab equipment)</w:t>
      </w:r>
    </w:p>
    <w:p w:rsidR="00621434" w:rsidRPr="00621434" w:rsidRDefault="00621434" w:rsidP="0062143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Site control documents: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landlord waiver/collateral access, site plans, rigging &amp; de-install method statements held in file.</w:t>
      </w:r>
    </w:p>
    <w:p w:rsidR="00621434" w:rsidRPr="00621434" w:rsidRDefault="00621434" w:rsidP="0062143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Software keys/service levers: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many medical/industrial systems rely on licensed software and OEM service keys. In default,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license renewal and vendor support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 be suspended per contract (we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 not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disable life-supporting clinical devices).</w:t>
      </w:r>
    </w:p>
    <w:p w:rsidR="008D3675" w:rsidRPr="00EA5173" w:rsidRDefault="00621434" w:rsidP="00EA517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Commissioning records &amp; serial mapping: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every major sub-assembly tied to the file for resale readiness.</w:t>
      </w:r>
    </w:p>
    <w:p w:rsidR="00621434" w:rsidRPr="00621434" w:rsidRDefault="00F524CF" w:rsidP="0062143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4)</w:t>
      </w:r>
      <w:r w:rsidR="00621434" w:rsidRPr="0062143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Underwriting &amp; portfolio governance (tight, data-first)</w:t>
      </w:r>
    </w:p>
    <w:p w:rsidR="00621434" w:rsidRPr="00621434" w:rsidRDefault="00621434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Borrower selection.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Full KYC/AML; corporate &amp; beneficial ownership checks; bureau reports; bank statements; T12–T24 financials; references. Sector experience and maintenance capability are scored.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Asset selection.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Favor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liquid, mission-critical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gear with deep secondary markets; age/metering caps; independent valuation or book values validated against resale databases.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Structures.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Risk-tiered advances/LTVs by asset and use case; terms within useful life; guarantees if warranted; staged funding for installs; landlord waiver as a condition where needed.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Limits &amp; triggers.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Concentration caps (obligor/sector/region), seasoning requirements, and early-warning triggers (DPD,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geofence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breaches, fault codes, insurance lapses). Stop-fund and cure mechanics are documented.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Accounting transparency.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Sub-ledger at the contract level, daily cash application, and immutable event logs.</w:t>
      </w:r>
    </w:p>
    <w:p w:rsidR="00621434" w:rsidRPr="00621434" w:rsidRDefault="0057319F" w:rsidP="0062143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9" style="width:0;height:1.5pt" o:hralign="center" o:hrstd="t" o:hr="t" fillcolor="#a0a0a0" stroked="f"/>
        </w:pict>
      </w:r>
    </w:p>
    <w:p w:rsidR="00621434" w:rsidRPr="00621434" w:rsidRDefault="00621434" w:rsidP="0062143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621434" w:rsidRPr="00621434" w:rsidRDefault="00F524CF" w:rsidP="0062143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5</w:t>
      </w:r>
      <w:r w:rsidR="00621434" w:rsidRPr="0062143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 Sector-specific notes (market scale + risk levers)</w:t>
      </w:r>
    </w:p>
    <w:p w:rsidR="00621434" w:rsidRPr="00621434" w:rsidRDefault="00621434" w:rsidP="0062143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Transportation</w:t>
      </w:r>
    </w:p>
    <w:p w:rsidR="00621434" w:rsidRPr="00621434" w:rsidRDefault="00621434" w:rsidP="0062143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Scale proxy: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Commercial &amp; industrial M&amp;E rental &amp; leasing revenue reached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C$17.5B in 2023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; this is not “finance volume” but a clear demand indicator for financed rolling stock and support gear.</w:t>
      </w:r>
    </w:p>
    <w:p w:rsidR="00621434" w:rsidRPr="00621434" w:rsidRDefault="00621434" w:rsidP="0062143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Risk levers: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OEM telematics &amp; (where lawful) remote immobilization/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derate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; ELD data corroboration;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geofencing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for yard/route; rapid recovery vendors pre-papered; PPSA filing per serial; comprehensive insurance.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Construction</w:t>
      </w:r>
    </w:p>
    <w:p w:rsidR="00621434" w:rsidRPr="00621434" w:rsidRDefault="00621434" w:rsidP="0062143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Scale proxy: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Canada’s construction equipment market commonly benchmarked around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~US$3–4B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mid-decade (methodologies differ). Finance targets focus on high-liquidity classes (excavators, loaders, aerials).</w:t>
      </w:r>
    </w:p>
    <w:p w:rsidR="00621434" w:rsidRPr="00621434" w:rsidRDefault="00621434" w:rsidP="0062143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Risk levers: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VisionLink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/KOMTRAX/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JDLink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integrations; jobsite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geofences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; seasonal utilization covenants; theft-hotspot controls; PPSA/PMSI by province; landlord waivers for fixed plants (crushers, batch plants).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Manufacturing</w:t>
      </w:r>
    </w:p>
    <w:p w:rsidR="00621434" w:rsidRPr="00621434" w:rsidRDefault="00621434" w:rsidP="0062143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Scale proxy: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Canadian businesses intend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C$132.3B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M&amp;E spend in 2025 (manufacturing is a significant share), with ongoing productivity push (automation/robotics/CNC).</w:t>
      </w:r>
    </w:p>
    <w:p w:rsidR="00621434" w:rsidRPr="00621434" w:rsidRDefault="00621434" w:rsidP="0062143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Risk levers: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D&amp;A + commissioning certificates, landlord access, software/service key management, and documented de-install plans; PPSA filings on serial-numbered goods.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Agriculture</w:t>
      </w:r>
    </w:p>
    <w:p w:rsidR="00621434" w:rsidRPr="00621434" w:rsidRDefault="00621434" w:rsidP="0062143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Scale proxy: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Farm equipment market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~US$8.3–8.4B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(2024) with near-term unit softness; telematics coverage expanding </w:t>
      </w:r>
    </w:p>
    <w:p w:rsidR="00621434" w:rsidRPr="00621434" w:rsidRDefault="00621434" w:rsidP="0062143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Risk levers: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GPS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location/hours/faults;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geofences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(farm blocks/equipment sheds); maintenance covenants tied to OEM schedules; seasonal cash-flow structures.</w:t>
      </w:r>
    </w:p>
    <w:p w:rsidR="00621434" w:rsidRPr="00621434" w:rsidRDefault="00621434" w:rsidP="0062143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Healthcare</w:t>
      </w:r>
    </w:p>
    <w:p w:rsidR="00621434" w:rsidRPr="00621434" w:rsidRDefault="00621434" w:rsidP="0062143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Scale proxy: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Canadian medical device market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~US$10.06B (2024)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; replacements and upgrades (diagnostics, sterilization, surgical) support consistent leasing demand.</w:t>
      </w:r>
    </w:p>
    <w:p w:rsidR="00621434" w:rsidRPr="00621434" w:rsidRDefault="00621434" w:rsidP="00305E7B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Risk levers: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Certificates of delivery, vendor install/commissioning reports, landlord access (if clinic space is leased),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software license &amp; service controls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(support suspensions per contract in non-critical contexts), comprehensive insurance. (We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 not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disable life-supporting devices.)</w:t>
      </w:r>
    </w:p>
    <w:p w:rsidR="00621434" w:rsidRPr="00621434" w:rsidRDefault="00F524CF" w:rsidP="0062143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6</w:t>
      </w:r>
      <w:r w:rsidR="00621434" w:rsidRPr="0062143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) How we handle problems </w:t>
      </w:r>
    </w:p>
    <w:p w:rsidR="00621434" w:rsidRPr="00621434" w:rsidRDefault="00621434" w:rsidP="0062143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Early reminders &amp; cure windows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via automated notices.</w:t>
      </w:r>
    </w:p>
    <w:p w:rsidR="00621434" w:rsidRPr="00621434" w:rsidRDefault="00621434" w:rsidP="0062143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Technical levers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(where lawful/contracted): tighten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geofences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; for powered units, apply remote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derate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/disable protocols with notice; suspend non-critical software support licenses for installed equipment.</w:t>
      </w:r>
    </w:p>
    <w:p w:rsidR="00621434" w:rsidRPr="00621434" w:rsidRDefault="00621434" w:rsidP="0062143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Field visit / voluntary surrender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with pre-approved agents.</w:t>
      </w:r>
    </w:p>
    <w:p w:rsidR="00621434" w:rsidRPr="00621434" w:rsidRDefault="00621434" w:rsidP="0062143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Repossession &amp; remarketing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via known channels for each asset class.</w:t>
      </w:r>
    </w:p>
    <w:p w:rsidR="00621434" w:rsidRPr="00621434" w:rsidRDefault="00621434" w:rsidP="0062143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Reporting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: lender gets an exception log and monthly package.</w:t>
      </w:r>
    </w:p>
    <w:p w:rsidR="00621434" w:rsidRPr="00621434" w:rsidRDefault="0057319F" w:rsidP="0062143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0" style="width:0;height:1.5pt" o:hralign="center" o:hrstd="t" o:hr="t" fillcolor="#a0a0a0" stroked="f"/>
        </w:pict>
      </w:r>
    </w:p>
    <w:p w:rsidR="00621434" w:rsidRPr="00621434" w:rsidRDefault="00F524CF" w:rsidP="0062143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7</w:t>
      </w:r>
      <w:r w:rsidR="00621434" w:rsidRPr="0062143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 Guardrails we keep front-and-centre</w:t>
      </w:r>
    </w:p>
    <w:p w:rsidR="00621434" w:rsidRPr="00621434" w:rsidRDefault="00621434" w:rsidP="0062143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Law- and contract-first use of technical controls.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Remote disable/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derate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only where permitted and disclosed;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geofencing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telemetry always with consent and privacy adherence.</w:t>
      </w:r>
    </w:p>
    <w:p w:rsidR="00621434" w:rsidRPr="00621434" w:rsidRDefault="00621434" w:rsidP="0062143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Cycle awareness.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We incorporate sector signals (manufacturing, </w:t>
      </w:r>
      <w:proofErr w:type="gram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ag</w:t>
      </w:r>
      <w:proofErr w:type="gram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, construction cadence) and keep advances conservative through slowdowns.</w:t>
      </w:r>
    </w:p>
    <w:p w:rsidR="00621434" w:rsidRDefault="00621434" w:rsidP="0062143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 dependence on any single OEM or vendor.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We accept mixed fleets and use cross-brand telematics where possible (e.g.,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JDLink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M-Modem and similar solutions).</w:t>
      </w:r>
    </w:p>
    <w:p w:rsidR="006E63F6" w:rsidRPr="00621434" w:rsidRDefault="006E63F6" w:rsidP="006E63F6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621434" w:rsidRPr="00621434" w:rsidRDefault="00F524CF" w:rsidP="0062143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8</w:t>
      </w:r>
      <w:r w:rsidR="00621434" w:rsidRPr="0062143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 Implementation plan (phased)</w:t>
      </w:r>
    </w:p>
    <w:p w:rsidR="00621434" w:rsidRPr="00621434" w:rsidRDefault="00621434" w:rsidP="0062143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Phase 1 – Core operations live: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underwriting checklists, PPSA processes by province, vendor network, </w:t>
      </w:r>
      <w:r w:rsidR="006F5D7F"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and telemetry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device options.</w:t>
      </w:r>
    </w:p>
    <w:p w:rsidR="00621434" w:rsidRPr="00621434" w:rsidRDefault="00621434" w:rsidP="0062143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Phase 2 – Software hub (MVP):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customer tags (Green/Yellow/Red), </w:t>
      </w:r>
      <w:proofErr w:type="spellStart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geofence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alert ingestion, exception queues, </w:t>
      </w:r>
      <w:r w:rsidR="006F5D7F"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and monthly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lender exports.</w:t>
      </w:r>
    </w:p>
    <w:p w:rsidR="00621434" w:rsidRPr="00621434" w:rsidRDefault="00621434" w:rsidP="0062143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Phase 3 – Automation &amp; scoring: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behavior-based pricing nudges, predictive service flags, portfolio early-warning analytics.</w:t>
      </w:r>
    </w:p>
    <w:p w:rsidR="00621434" w:rsidRPr="00621434" w:rsidRDefault="0057319F" w:rsidP="0062143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2" style="width:0;height:1.5pt" o:hralign="center" o:hrstd="t" o:hr="t" fillcolor="#a0a0a0" stroked="f"/>
        </w:pict>
      </w:r>
    </w:p>
    <w:p w:rsidR="00621434" w:rsidRPr="00621434" w:rsidRDefault="00F524CF" w:rsidP="0062143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9</w:t>
      </w:r>
      <w:r w:rsidR="00621434" w:rsidRPr="00621434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) References</w:t>
      </w:r>
    </w:p>
    <w:p w:rsidR="00621434" w:rsidRPr="00621434" w:rsidRDefault="00621434" w:rsidP="0062143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Canada M&amp;E investment intentions 2025 (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C$132.3B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).</w:t>
      </w:r>
    </w:p>
    <w:p w:rsidR="00621434" w:rsidRPr="00621434" w:rsidRDefault="00621434" w:rsidP="0062143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Commercial &amp; industrial M&amp;E rental &amp; leasing operating revenue (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C$17.5B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, 2023).</w:t>
      </w:r>
    </w:p>
    <w:p w:rsidR="00621434" w:rsidRPr="00621434" w:rsidRDefault="00621434" w:rsidP="0062143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Manufacturing sector revenue (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C$935.6B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, 2023).</w:t>
      </w:r>
    </w:p>
    <w:p w:rsidR="00621434" w:rsidRPr="00621434" w:rsidRDefault="00621434" w:rsidP="0062143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Agriculture market dynamics &amp; equipment outlook (near-term softness).</w:t>
      </w:r>
    </w:p>
    <w:p w:rsidR="00621434" w:rsidRPr="00621434" w:rsidRDefault="00621434" w:rsidP="0062143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Medical devices market (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~US$10.06B</w:t>
      </w: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, 2024, ex-IVD).</w:t>
      </w:r>
    </w:p>
    <w:p w:rsidR="00621434" w:rsidRPr="00621434" w:rsidRDefault="00621434" w:rsidP="0062143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Construction equipment market (methodology-dependent; ~US$3–4B).</w:t>
      </w:r>
    </w:p>
    <w:p w:rsidR="00621434" w:rsidRPr="00621434" w:rsidRDefault="00621434" w:rsidP="0062143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OEM telematics capabilities (location/usage; some systems support </w:t>
      </w:r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remote disable/</w:t>
      </w:r>
      <w:proofErr w:type="spellStart"/>
      <w:r w:rsidRPr="0062143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derate</w:t>
      </w:r>
      <w:proofErr w:type="spellEnd"/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).</w:t>
      </w:r>
    </w:p>
    <w:p w:rsidR="00621434" w:rsidRPr="00621434" w:rsidRDefault="00621434" w:rsidP="0062143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PPSA framework for secured lending (provincial statutes &amp; practice).</w:t>
      </w:r>
    </w:p>
    <w:p w:rsidR="00621434" w:rsidRPr="00621434" w:rsidRDefault="00621434" w:rsidP="0062143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621434">
        <w:rPr>
          <w:rFonts w:ascii="Times New Roman" w:eastAsia="Times New Roman" w:hAnsi="Times New Roman" w:cs="Times New Roman"/>
          <w:sz w:val="24"/>
          <w:szCs w:val="24"/>
          <w:lang w:eastAsia="en-CA"/>
        </w:rPr>
        <w:t>Landlord waiver/collateral access norms in Canada.</w:t>
      </w:r>
    </w:p>
    <w:p w:rsidR="00621434" w:rsidRPr="00621434" w:rsidRDefault="0057319F" w:rsidP="0062143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3" style="width:0;height:1.5pt" o:hralign="center" o:hrstd="t" o:hr="t" fillcolor="#a0a0a0" stroked="f"/>
        </w:pict>
      </w:r>
    </w:p>
    <w:p w:rsidR="006830D4" w:rsidRDefault="006830D4" w:rsidP="0098781D"/>
    <w:sectPr w:rsidR="006830D4" w:rsidSect="001A1FCC"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319F" w:rsidRDefault="0057319F" w:rsidP="0038716E">
      <w:pPr>
        <w:spacing w:after="0" w:line="240" w:lineRule="auto"/>
      </w:pPr>
      <w:r>
        <w:separator/>
      </w:r>
    </w:p>
  </w:endnote>
  <w:endnote w:type="continuationSeparator" w:id="0">
    <w:p w:rsidR="0057319F" w:rsidRDefault="0057319F" w:rsidP="00387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716E" w:rsidRPr="009E3EE3" w:rsidRDefault="0038716E" w:rsidP="0038716E">
    <w:pPr>
      <w:shd w:val="clear" w:color="auto" w:fill="FFFFFF"/>
      <w:spacing w:after="0" w:line="240" w:lineRule="auto"/>
      <w:rPr>
        <w:rFonts w:ascii="Times New Roman" w:eastAsia="Times New Roman" w:hAnsi="Times New Roman" w:cs="Times New Roman"/>
        <w:lang w:eastAsia="en-CA"/>
      </w:rPr>
    </w:pPr>
    <w:r w:rsidRPr="009E3EE3">
      <w:rPr>
        <w:rFonts w:ascii="Times New Roman" w:eastAsia="Times New Roman" w:hAnsi="Times New Roman" w:cs="Times New Roman"/>
        <w:lang w:eastAsia="en-CA"/>
      </w:rPr>
      <w:t>9616 188 St</w:t>
    </w:r>
  </w:p>
  <w:p w:rsidR="0038716E" w:rsidRDefault="0038716E">
    <w:pPr>
      <w:pStyle w:val="Footer"/>
    </w:pPr>
    <w:r w:rsidRPr="009E3EE3">
      <w:rPr>
        <w:rFonts w:ascii="Times New Roman" w:eastAsia="Times New Roman" w:hAnsi="Times New Roman" w:cs="Times New Roman"/>
        <w:shd w:val="clear" w:color="auto" w:fill="FFFFFF"/>
        <w:lang w:eastAsia="en-CA"/>
      </w:rPr>
      <w:t>Surrey, BC V4N 3M2</w:t>
    </w:r>
    <w:r w:rsidRPr="009E3EE3">
      <w:rPr>
        <w:rFonts w:ascii="Times New Roman" w:hAnsi="Times New Roman" w:cs="Times New Roman"/>
      </w:rPr>
      <w:t xml:space="preserve"> 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D377A0" w:rsidRPr="00D377A0">
      <w:rPr>
        <w:b/>
        <w:bCs/>
        <w:noProof/>
      </w:rPr>
      <w:t>8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319F" w:rsidRDefault="0057319F" w:rsidP="0038716E">
      <w:pPr>
        <w:spacing w:after="0" w:line="240" w:lineRule="auto"/>
      </w:pPr>
      <w:r>
        <w:separator/>
      </w:r>
    </w:p>
  </w:footnote>
  <w:footnote w:type="continuationSeparator" w:id="0">
    <w:p w:rsidR="0057319F" w:rsidRDefault="0057319F" w:rsidP="003871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54078"/>
    <w:multiLevelType w:val="multilevel"/>
    <w:tmpl w:val="02D2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41235"/>
    <w:multiLevelType w:val="multilevel"/>
    <w:tmpl w:val="7114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4114F"/>
    <w:multiLevelType w:val="multilevel"/>
    <w:tmpl w:val="5A0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60330"/>
    <w:multiLevelType w:val="multilevel"/>
    <w:tmpl w:val="D8CA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721C3"/>
    <w:multiLevelType w:val="multilevel"/>
    <w:tmpl w:val="D23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0548E"/>
    <w:multiLevelType w:val="multilevel"/>
    <w:tmpl w:val="1A08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32B69"/>
    <w:multiLevelType w:val="multilevel"/>
    <w:tmpl w:val="2B40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A181E"/>
    <w:multiLevelType w:val="multilevel"/>
    <w:tmpl w:val="F9C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D7D38"/>
    <w:multiLevelType w:val="multilevel"/>
    <w:tmpl w:val="4F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52AE3"/>
    <w:multiLevelType w:val="multilevel"/>
    <w:tmpl w:val="EE9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B6B73"/>
    <w:multiLevelType w:val="multilevel"/>
    <w:tmpl w:val="F71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2386A"/>
    <w:multiLevelType w:val="multilevel"/>
    <w:tmpl w:val="0A68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81885"/>
    <w:multiLevelType w:val="multilevel"/>
    <w:tmpl w:val="9DE6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41CF8"/>
    <w:multiLevelType w:val="multilevel"/>
    <w:tmpl w:val="372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F008A"/>
    <w:multiLevelType w:val="multilevel"/>
    <w:tmpl w:val="B4D0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23BC4"/>
    <w:multiLevelType w:val="multilevel"/>
    <w:tmpl w:val="30C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D152D"/>
    <w:multiLevelType w:val="multilevel"/>
    <w:tmpl w:val="1668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7410E"/>
    <w:multiLevelType w:val="multilevel"/>
    <w:tmpl w:val="0D9A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6"/>
  </w:num>
  <w:num w:numId="4">
    <w:abstractNumId w:val="15"/>
  </w:num>
  <w:num w:numId="5">
    <w:abstractNumId w:val="8"/>
  </w:num>
  <w:num w:numId="6">
    <w:abstractNumId w:val="5"/>
  </w:num>
  <w:num w:numId="7">
    <w:abstractNumId w:val="7"/>
  </w:num>
  <w:num w:numId="8">
    <w:abstractNumId w:val="10"/>
  </w:num>
  <w:num w:numId="9">
    <w:abstractNumId w:val="9"/>
  </w:num>
  <w:num w:numId="10">
    <w:abstractNumId w:val="11"/>
  </w:num>
  <w:num w:numId="11">
    <w:abstractNumId w:val="0"/>
  </w:num>
  <w:num w:numId="12">
    <w:abstractNumId w:val="13"/>
  </w:num>
  <w:num w:numId="13">
    <w:abstractNumId w:val="3"/>
  </w:num>
  <w:num w:numId="14">
    <w:abstractNumId w:val="2"/>
  </w:num>
  <w:num w:numId="15">
    <w:abstractNumId w:val="12"/>
  </w:num>
  <w:num w:numId="16">
    <w:abstractNumId w:val="17"/>
  </w:num>
  <w:num w:numId="17">
    <w:abstractNumId w:val="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434"/>
    <w:rsid w:val="000445CA"/>
    <w:rsid w:val="000465DA"/>
    <w:rsid w:val="00066BE2"/>
    <w:rsid w:val="000B78B4"/>
    <w:rsid w:val="000F5F46"/>
    <w:rsid w:val="001A1FCC"/>
    <w:rsid w:val="00305E7B"/>
    <w:rsid w:val="0038716E"/>
    <w:rsid w:val="00437747"/>
    <w:rsid w:val="0057319F"/>
    <w:rsid w:val="005C2095"/>
    <w:rsid w:val="00621434"/>
    <w:rsid w:val="006830D4"/>
    <w:rsid w:val="006966B5"/>
    <w:rsid w:val="006E63F6"/>
    <w:rsid w:val="006F56AB"/>
    <w:rsid w:val="006F5D7F"/>
    <w:rsid w:val="007944D0"/>
    <w:rsid w:val="007C6510"/>
    <w:rsid w:val="008C2E85"/>
    <w:rsid w:val="008D3675"/>
    <w:rsid w:val="0098781D"/>
    <w:rsid w:val="00D377A0"/>
    <w:rsid w:val="00EA5173"/>
    <w:rsid w:val="00F524CF"/>
    <w:rsid w:val="00F6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53D8"/>
  <w15:chartTrackingRefBased/>
  <w15:docId w15:val="{39223F14-E316-47A8-BB2B-80D3F733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14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6214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621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434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621434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621434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6214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62143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8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81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87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16E"/>
  </w:style>
  <w:style w:type="paragraph" w:styleId="Footer">
    <w:name w:val="footer"/>
    <w:basedOn w:val="Normal"/>
    <w:link w:val="FooterChar"/>
    <w:uiPriority w:val="99"/>
    <w:unhideWhenUsed/>
    <w:rsid w:val="003871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7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1590</Words>
  <Characters>9066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Patel</dc:creator>
  <cp:keywords/>
  <dc:description/>
  <cp:lastModifiedBy>Anika Patel</cp:lastModifiedBy>
  <cp:revision>118</cp:revision>
  <cp:lastPrinted>2025-10-02T20:52:00Z</cp:lastPrinted>
  <dcterms:created xsi:type="dcterms:W3CDTF">2025-10-02T19:15:00Z</dcterms:created>
  <dcterms:modified xsi:type="dcterms:W3CDTF">2025-10-06T21:34:00Z</dcterms:modified>
</cp:coreProperties>
</file>