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0"/>
          <w:color w:val="33333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4a442a"/>
          <w:sz w:val="72"/>
          <w:szCs w:val="7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a442a"/>
          <w:sz w:val="72"/>
          <w:szCs w:val="72"/>
          <w:vertAlign w:val="baseline"/>
          <w:rtl w:val="0"/>
        </w:rPr>
        <w:t xml:space="preserve">SWOT Analysis Tool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 Light" w:cs="Helvetica Neue Light" w:eastAsia="Helvetica Neue Light" w:hAnsi="Helvetica Neue Light"/>
          <w:color w:val="984806"/>
          <w:sz w:val="32"/>
          <w:szCs w:val="32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984806"/>
          <w:sz w:val="32"/>
          <w:szCs w:val="32"/>
          <w:vertAlign w:val="baseline"/>
          <w:rtl w:val="0"/>
        </w:rPr>
        <w:t xml:space="preserve">Purpose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-1003299</wp:posOffset>
                </wp:positionV>
                <wp:extent cx="0" cy="12700"/>
                <wp:effectExtent b="0" l="0" r="0" t="0"/>
                <wp:wrapSquare wrapText="bothSides" distB="0" distT="0" distL="114300" distR="114300"/>
                <wp:docPr id="10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3700" y="3780000"/>
                          <a:ext cx="6324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EECE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-1003299</wp:posOffset>
                </wp:positionV>
                <wp:extent cx="0" cy="12700"/>
                <wp:effectExtent b="0" l="0" r="0" t="0"/>
                <wp:wrapSquare wrapText="bothSides" distB="0" distT="0" distL="114300" distR="114300"/>
                <wp:docPr id="10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color w:val="80808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elvetica Neue Light" w:cs="Helvetica Neue Light" w:eastAsia="Helvetica Neue Light" w:hAnsi="Helvetica Neue Light"/>
          <w:color w:val="4a442a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a442a"/>
          <w:vertAlign w:val="baseline"/>
          <w:rtl w:val="0"/>
        </w:rPr>
        <w:t xml:space="preserve">The purpose of this tool is to provide assistance with evaluating your organization’s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a442a"/>
          <w:u w:val="single"/>
          <w:vertAlign w:val="baseline"/>
          <w:rtl w:val="0"/>
        </w:rPr>
        <w:t xml:space="preserve">S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a442a"/>
          <w:vertAlign w:val="baseline"/>
          <w:rtl w:val="0"/>
        </w:rPr>
        <w:t xml:space="preserve">trengths,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a442a"/>
          <w:u w:val="singl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a442a"/>
          <w:vertAlign w:val="baseline"/>
          <w:rtl w:val="0"/>
        </w:rPr>
        <w:t xml:space="preserve">eaknesses,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a442a"/>
          <w:u w:val="single"/>
          <w:vertAlign w:val="baseline"/>
          <w:rtl w:val="0"/>
        </w:rPr>
        <w:t xml:space="preserve">O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a442a"/>
          <w:vertAlign w:val="baseline"/>
          <w:rtl w:val="0"/>
        </w:rPr>
        <w:t xml:space="preserve">pportunities, and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a442a"/>
          <w:u w:val="single"/>
          <w:vertAlign w:val="baseline"/>
          <w:rtl w:val="0"/>
        </w:rPr>
        <w:t xml:space="preserve">T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a442a"/>
          <w:vertAlign w:val="baseline"/>
          <w:rtl w:val="0"/>
        </w:rPr>
        <w:t xml:space="preserve">hreats.  Strengths &amp; weaknesses are generally INTERNAL, while opportunities &amp; threats are normally EXTERNAL.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color w:val="80808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5.0" w:type="dxa"/>
        <w:jc w:val="left"/>
        <w:tblInd w:w="0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000"/>
      </w:tblPr>
      <w:tblGrid>
        <w:gridCol w:w="4730"/>
        <w:gridCol w:w="4875"/>
        <w:tblGridChange w:id="0">
          <w:tblGrid>
            <w:gridCol w:w="4730"/>
            <w:gridCol w:w="4875"/>
          </w:tblGrid>
        </w:tblGridChange>
      </w:tblGrid>
      <w:tr>
        <w:trPr>
          <w:cantSplit w:val="0"/>
          <w:trHeight w:val="627" w:hRule="atLeast"/>
          <w:tblHeader w:val="0"/>
        </w:trPr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ndara" w:cs="Candara" w:eastAsia="Candara" w:hAnsi="Candara"/>
                <w:color w:val="ffffff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ffffff"/>
                <w:sz w:val="32"/>
                <w:szCs w:val="32"/>
                <w:vertAlign w:val="baseline"/>
                <w:rtl w:val="0"/>
              </w:rPr>
              <w:t xml:space="preserve">Strengths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ndara" w:cs="Candara" w:eastAsia="Candara" w:hAnsi="Candara"/>
                <w:color w:val="ffffff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ffffff"/>
                <w:sz w:val="32"/>
                <w:szCs w:val="32"/>
                <w:vertAlign w:val="baseline"/>
                <w:rtl w:val="0"/>
              </w:rPr>
              <w:t xml:space="preserve">Weaknesses</w:t>
            </w:r>
          </w:p>
        </w:tc>
      </w:tr>
      <w:tr>
        <w:trPr>
          <w:cantSplit w:val="0"/>
          <w:trHeight w:val="302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color w:val="4a442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  <w:rtl w:val="0"/>
              </w:rPr>
              <w:t xml:space="preserve">New Product Dev. Process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spacing w:line="480" w:lineRule="auto"/>
              <w:rPr>
                <w:rFonts w:ascii="Verdana" w:cs="Verdana" w:eastAsia="Verdana" w:hAnsi="Verdana"/>
                <w:color w:val="4a442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color w:val="4a442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  <w:rtl w:val="0"/>
              </w:rPr>
              <w:t xml:space="preserve">Poor Disaster Recovery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720" w:firstLine="0"/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480" w:lineRule="auto"/>
              <w:rPr>
                <w:rFonts w:ascii="Verdana" w:cs="Verdana" w:eastAsia="Verdana" w:hAnsi="Verdana"/>
                <w:color w:val="4a442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shd w:fill="76923c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ndara" w:cs="Candara" w:eastAsia="Candara" w:hAnsi="Candara"/>
                <w:color w:val="ffffff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ffffff"/>
                <w:sz w:val="32"/>
                <w:szCs w:val="32"/>
                <w:vertAlign w:val="baseline"/>
                <w:rtl w:val="0"/>
              </w:rPr>
              <w:t xml:space="preserve">Opportunities</w:t>
            </w:r>
          </w:p>
        </w:tc>
        <w:tc>
          <w:tcPr>
            <w:shd w:fill="c00000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ndara" w:cs="Candara" w:eastAsia="Candara" w:hAnsi="Candara"/>
                <w:color w:val="ffffff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ffffff"/>
                <w:sz w:val="32"/>
                <w:szCs w:val="32"/>
                <w:vertAlign w:val="baseline"/>
                <w:rtl w:val="0"/>
              </w:rPr>
              <w:t xml:space="preserve">Threats</w:t>
            </w:r>
          </w:p>
        </w:tc>
      </w:tr>
      <w:tr>
        <w:trPr>
          <w:cantSplit w:val="0"/>
          <w:trHeight w:val="31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color w:val="4a442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  <w:rtl w:val="0"/>
              </w:rPr>
              <w:t xml:space="preserve">Cross-selling new products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color w:val="4a442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  <w:rtl w:val="0"/>
              </w:rPr>
              <w:t xml:space="preserve">Data vulnerable to virus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360" w:firstLine="0"/>
              <w:jc w:val="both"/>
              <w:rPr>
                <w:rFonts w:ascii="Helvetica Neue Light" w:cs="Helvetica Neue Light" w:eastAsia="Helvetica Neue Light" w:hAnsi="Helvetica Neue Light"/>
                <w:color w:val="4a442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rFonts w:ascii="Verdana" w:cs="Verdana" w:eastAsia="Verdana" w:hAnsi="Verdana"/>
          <w:color w:val="59595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alibri"/>
  <w:font w:name="Arial"/>
  <w:font w:name="Times New Roman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und"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4gETpRPGRaVu32obrpooISUKkQ==">AMUW2mW+EFQnn4+yXmeyaCGOvkr1tACKcwkhlQWC07XUn2PPsOnqGBOr4qikv7EMIF5NA85DNLzVKt8LZPZ/q+dZ1AXr3P8RNUdNmHG3YiFXVdqSsL/cgYo=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2011-09-27T22:27:00Z</dcterms:created>
  <dc:creator>Demand Metric Analysts</dc:creator>
</cp:coreProperties>
</file>