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istorical-performance"/>
    <w:p>
      <w:pPr>
        <w:pStyle w:val="Heading2"/>
      </w:pPr>
      <w:r>
        <w:t xml:space="preserve">Historical Performance</w:t>
      </w:r>
    </w:p>
    <w:p>
      <w:pPr>
        <w:pStyle w:val="FirstParagraph"/>
      </w:pPr>
      <w:r>
        <w:rPr>
          <w:i/>
          <w:iCs/>
        </w:rPr>
        <w:t xml:space="preserve">Data Period: June 2024 - December 2025</w:t>
      </w:r>
    </w:p>
    <w:bookmarkStart w:id="9" w:name="year-to-date-performance-2025"/>
    <w:p>
      <w:pPr>
        <w:pStyle w:val="Heading3"/>
      </w:pPr>
      <w:r>
        <w:t xml:space="preserve">Year-to-Date Performance (2025)</w:t>
      </w:r>
    </w:p>
    <w:p>
      <w:pPr>
        <w:pStyle w:val="FirstParagraph"/>
      </w:pPr>
      <w:r>
        <w:rPr>
          <w:b/>
          <w:bCs/>
        </w:rPr>
        <w:t xml:space="preserve">Yield Performance:</w:t>
      </w:r>
      <w:r>
        <w:t xml:space="preserve"> </w:t>
      </w:r>
      <w:r>
        <w:t xml:space="preserve">- YTD Return (2025):</w:t>
      </w:r>
      <w:r>
        <w:t xml:space="preserve"> </w:t>
      </w:r>
      <w:r>
        <w:rPr>
          <w:b/>
          <w:bCs/>
        </w:rPr>
        <w:t xml:space="preserve">21.77%</w:t>
      </w:r>
      <w:r>
        <w:t xml:space="preserve"> </w:t>
      </w:r>
      <w:r>
        <w:t xml:space="preserve">- 2024 Return:</w:t>
      </w:r>
      <w:r>
        <w:t xml:space="preserve"> </w:t>
      </w:r>
      <w:r>
        <w:rPr>
          <w:b/>
          <w:bCs/>
        </w:rPr>
        <w:t xml:space="preserve">22.18%</w:t>
      </w:r>
      <w:r>
        <w:t xml:space="preserve"> </w:t>
      </w:r>
      <w:r>
        <w:t xml:space="preserve">- Cumulative Return (Jun 2024 - Dec 2025):</w:t>
      </w:r>
      <w:r>
        <w:t xml:space="preserve"> </w:t>
      </w:r>
      <w:r>
        <w:rPr>
          <w:b/>
          <w:bCs/>
        </w:rPr>
        <w:t xml:space="preserve">43.95%</w:t>
      </w:r>
      <w:r>
        <w:t xml:space="preserve"> </w:t>
      </w:r>
      <w:r>
        <w:t xml:space="preserve">- Current 90-Day APY:</w:t>
      </w:r>
      <w:r>
        <w:t xml:space="preserve"> </w:t>
      </w:r>
      <w:r>
        <w:rPr>
          <w:b/>
          <w:bCs/>
        </w:rPr>
        <w:t xml:space="preserve">16.03%</w:t>
      </w:r>
      <w:r>
        <w:t xml:space="preserve"> </w:t>
      </w:r>
      <w:r>
        <w:t xml:space="preserve">- Current 30-Day APY:</w:t>
      </w:r>
      <w:r>
        <w:t xml:space="preserve"> </w:t>
      </w:r>
      <w:r>
        <w:rPr>
          <w:b/>
          <w:bCs/>
        </w:rPr>
        <w:t xml:space="preserve">34.82%</w:t>
      </w:r>
      <w:r>
        <w:t xml:space="preserve"> </w:t>
      </w:r>
      <w:r>
        <w:t xml:space="preserve">- Peak APY (Dec 17, 2024):</w:t>
      </w:r>
      <w:r>
        <w:t xml:space="preserve"> </w:t>
      </w:r>
      <w:r>
        <w:rPr>
          <w:b/>
          <w:bCs/>
        </w:rPr>
        <w:t xml:space="preserve">86.59%</w:t>
      </w:r>
    </w:p>
    <w:p>
      <w:pPr>
        <w:pStyle w:val="BodyText"/>
      </w:pPr>
      <w:r>
        <w:rPr>
          <w:b/>
          <w:bCs/>
        </w:rPr>
        <w:t xml:space="preserve">Comparison Benchmarks:</w:t>
      </w:r>
      <w:r>
        <w:t xml:space="preserve"> </w:t>
      </w:r>
      <w:r>
        <w:t xml:space="preserve">- Cutwater Current APY:</w:t>
      </w:r>
      <w:r>
        <w:t xml:space="preserve"> </w:t>
      </w:r>
      <w:r>
        <w:rPr>
          <w:b/>
          <w:bCs/>
        </w:rPr>
        <w:t xml:space="preserve">16.03%</w:t>
      </w:r>
      <w:r>
        <w:t xml:space="preserve"> </w:t>
      </w:r>
      <w:r>
        <w:t xml:space="preserve">(90-day rolling)</w:t>
      </w:r>
      <w:r>
        <w:t xml:space="preserve"> </w:t>
      </w:r>
      <w:r>
        <w:t xml:space="preserve">- Ethena (sUSDe) APY: ~10-15%</w:t>
      </w:r>
      <w:r>
        <w:t xml:space="preserve"> </w:t>
      </w:r>
      <w:r>
        <w:t xml:space="preserve">- Resolv (stUSR) APY: ~5-6%</w:t>
      </w:r>
      <w:r>
        <w:t xml:space="preserve"> </w:t>
      </w:r>
      <w:r>
        <w:t xml:space="preserve">- Traditional Staking (stETH): ~3-4%</w:t>
      </w:r>
    </w:p>
    <w:bookmarkEnd w:id="9"/>
    <w:bookmarkStart w:id="10" w:name="aum-growth-trajectory"/>
    <w:p>
      <w:pPr>
        <w:pStyle w:val="Heading3"/>
      </w:pPr>
      <w:r>
        <w:t xml:space="preserve">AUM Growth Trajectory</w:t>
      </w:r>
    </w:p>
    <w:p>
      <w:pPr>
        <w:pStyle w:val="FirstParagraph"/>
      </w:pPr>
      <w:r>
        <w:rPr>
          <w:b/>
          <w:bCs/>
        </w:rPr>
        <w:t xml:space="preserve">Total Assets Under Management:</w:t>
      </w:r>
      <w:r>
        <w:t xml:space="preserve"> </w:t>
      </w:r>
      <w:r>
        <w:t xml:space="preserve">- Launch Date: June 2024</w:t>
      </w:r>
      <w:r>
        <w:t xml:space="preserve"> </w:t>
      </w:r>
      <w:r>
        <w:t xml:space="preserve">- Initial AUM: $99</w:t>
      </w:r>
      <w:r>
        <w:t xml:space="preserve"> </w:t>
      </w:r>
      <w:r>
        <w:t xml:space="preserve">- Current AUM:</w:t>
      </w:r>
      <w:r>
        <w:t xml:space="preserve"> </w:t>
      </w:r>
      <w:r>
        <w:rPr>
          <w:b/>
          <w:bCs/>
        </w:rPr>
        <w:t xml:space="preserve">$7,400,767</w:t>
      </w:r>
      <w:r>
        <w:t xml:space="preserve"> </w:t>
      </w:r>
      <w:r>
        <w:t xml:space="preserve">- Peak AUM:</w:t>
      </w:r>
      <w:r>
        <w:t xml:space="preserve"> </w:t>
      </w:r>
      <w:r>
        <w:rPr>
          <w:b/>
          <w:bCs/>
        </w:rPr>
        <w:t xml:space="preserve">$7,400,767</w:t>
      </w:r>
      <w:r>
        <w:t xml:space="preserve"> </w:t>
      </w:r>
      <w:r>
        <w:t xml:space="preserve">(December 2025)</w:t>
      </w:r>
      <w:r>
        <w:t xml:space="preserve"> </w:t>
      </w:r>
      <w:r>
        <w:t xml:space="preserve">- Growth Rate: 43.95% cumulative over 19 months</w:t>
      </w:r>
    </w:p>
    <w:p>
      <w:pPr>
        <w:pStyle w:val="BodyText"/>
      </w:pPr>
      <w:r>
        <w:rPr>
          <w:b/>
          <w:bCs/>
        </w:rPr>
        <w:t xml:space="preserve">Monthly AUM Growth: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</w:pPr>
            <w:r>
              <w:t xml:space="preserve">Growth from Previous</w:t>
            </w:r>
          </w:p>
        </w:tc>
        <w:tc>
          <w:tcPr/>
          <w:p>
            <w:pPr>
              <w:pStyle w:val="Compact"/>
            </w:pPr>
            <w:r>
              <w:t xml:space="preserve">USDi in Circulation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2024</w:t>
            </w:r>
          </w:p>
        </w:tc>
        <w:tc>
          <w:tcPr/>
          <w:p>
            <w:pPr>
              <w:pStyle w:val="Compact"/>
            </w:pPr>
            <w:r>
              <w:t xml:space="preserve">$99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2024</w:t>
            </w:r>
          </w:p>
        </w:tc>
        <w:tc>
          <w:tcPr/>
          <w:p>
            <w:pPr>
              <w:pStyle w:val="Compact"/>
            </w:pPr>
            <w:r>
              <w:t xml:space="preserve">$99,306</w:t>
            </w:r>
          </w:p>
        </w:tc>
        <w:tc>
          <w:tcPr/>
          <w:p>
            <w:pPr>
              <w:pStyle w:val="Compact"/>
            </w:pPr>
            <w:r>
              <w:t xml:space="preserve">+99,107%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2024</w:t>
            </w:r>
          </w:p>
        </w:tc>
        <w:tc>
          <w:tcPr/>
          <w:p>
            <w:pPr>
              <w:pStyle w:val="Compact"/>
            </w:pPr>
            <w:r>
              <w:t xml:space="preserve">$109,330</w:t>
            </w:r>
          </w:p>
        </w:tc>
        <w:tc>
          <w:tcPr/>
          <w:p>
            <w:pPr>
              <w:pStyle w:val="Compact"/>
            </w:pPr>
            <w:r>
              <w:t xml:space="preserve">+10.1%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2024</w:t>
            </w:r>
          </w:p>
        </w:tc>
        <w:tc>
          <w:tcPr/>
          <w:p>
            <w:pPr>
              <w:pStyle w:val="Compact"/>
            </w:pPr>
            <w:r>
              <w:t xml:space="preserve">$117,487</w:t>
            </w:r>
          </w:p>
        </w:tc>
        <w:tc>
          <w:tcPr/>
          <w:p>
            <w:pPr>
              <w:pStyle w:val="Compact"/>
            </w:pPr>
            <w:r>
              <w:t xml:space="preserve">+7.5%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2024</w:t>
            </w:r>
          </w:p>
        </w:tc>
        <w:tc>
          <w:tcPr/>
          <w:p>
            <w:pPr>
              <w:pStyle w:val="Compact"/>
            </w:pPr>
            <w:r>
              <w:t xml:space="preserve">$119,811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2024</w:t>
            </w:r>
          </w:p>
        </w:tc>
        <w:tc>
          <w:tcPr/>
          <w:p>
            <w:pPr>
              <w:pStyle w:val="Compact"/>
            </w:pPr>
            <w:r>
              <w:t xml:space="preserve">$124,957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$122,828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2024</w:t>
            </w:r>
          </w:p>
        </w:tc>
        <w:tc>
          <w:tcPr/>
          <w:p>
            <w:pPr>
              <w:pStyle w:val="Compact"/>
            </w:pPr>
            <w:r>
              <w:t xml:space="preserve">$125,059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$122,828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$309,503</w:t>
            </w:r>
          </w:p>
        </w:tc>
        <w:tc>
          <w:tcPr/>
          <w:p>
            <w:pPr>
              <w:pStyle w:val="Compact"/>
            </w:pPr>
            <w:r>
              <w:t xml:space="preserve">+147.5%</w:t>
            </w:r>
          </w:p>
        </w:tc>
        <w:tc>
          <w:tcPr/>
          <w:p>
            <w:pPr>
              <w:pStyle w:val="Compact"/>
            </w:pPr>
            <w:r>
              <w:t xml:space="preserve">$309,828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2025</w:t>
            </w:r>
          </w:p>
        </w:tc>
        <w:tc>
          <w:tcPr/>
          <w:p>
            <w:pPr>
              <w:pStyle w:val="Compact"/>
            </w:pPr>
            <w:r>
              <w:t xml:space="preserve">$576,120</w:t>
            </w:r>
          </w:p>
        </w:tc>
        <w:tc>
          <w:tcPr/>
          <w:p>
            <w:pPr>
              <w:pStyle w:val="Compact"/>
            </w:pPr>
            <w:r>
              <w:t xml:space="preserve">+86.1%</w:t>
            </w:r>
          </w:p>
        </w:tc>
        <w:tc>
          <w:tcPr/>
          <w:p>
            <w:pPr>
              <w:pStyle w:val="Compact"/>
            </w:pPr>
            <w:r>
              <w:t xml:space="preserve">$569,850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2025</w:t>
            </w:r>
          </w:p>
        </w:tc>
        <w:tc>
          <w:tcPr/>
          <w:p>
            <w:pPr>
              <w:pStyle w:val="Compact"/>
            </w:pPr>
            <w:r>
              <w:t xml:space="preserve">$942,284</w:t>
            </w:r>
          </w:p>
        </w:tc>
        <w:tc>
          <w:tcPr/>
          <w:p>
            <w:pPr>
              <w:pStyle w:val="Compact"/>
            </w:pPr>
            <w:r>
              <w:t xml:space="preserve">+63.5%</w:t>
            </w:r>
          </w:p>
        </w:tc>
        <w:tc>
          <w:tcPr/>
          <w:p>
            <w:pPr>
              <w:pStyle w:val="Compact"/>
            </w:pPr>
            <w:r>
              <w:t xml:space="preserve">$927,568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2025</w:t>
            </w:r>
          </w:p>
        </w:tc>
        <w:tc>
          <w:tcPr/>
          <w:p>
            <w:pPr>
              <w:pStyle w:val="Compact"/>
            </w:pPr>
            <w:r>
              <w:t xml:space="preserve">$1,279,476</w:t>
            </w:r>
          </w:p>
        </w:tc>
        <w:tc>
          <w:tcPr/>
          <w:p>
            <w:pPr>
              <w:pStyle w:val="Compact"/>
            </w:pPr>
            <w:r>
              <w:t xml:space="preserve">+35.8%</w:t>
            </w:r>
          </w:p>
        </w:tc>
        <w:tc>
          <w:tcPr/>
          <w:p>
            <w:pPr>
              <w:pStyle w:val="Compact"/>
            </w:pPr>
            <w:r>
              <w:t xml:space="preserve">$1,218,193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2025</w:t>
            </w:r>
          </w:p>
        </w:tc>
        <w:tc>
          <w:tcPr/>
          <w:p>
            <w:pPr>
              <w:pStyle w:val="Compact"/>
            </w:pPr>
            <w:r>
              <w:t xml:space="preserve">$1,374,730</w:t>
            </w:r>
          </w:p>
        </w:tc>
        <w:tc>
          <w:tcPr/>
          <w:p>
            <w:pPr>
              <w:pStyle w:val="Compact"/>
            </w:pPr>
            <w:r>
              <w:t xml:space="preserve">+7.4%</w:t>
            </w:r>
          </w:p>
        </w:tc>
        <w:tc>
          <w:tcPr/>
          <w:p>
            <w:pPr>
              <w:pStyle w:val="Compact"/>
            </w:pPr>
            <w:r>
              <w:t xml:space="preserve">$1,342,718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2025</w:t>
            </w:r>
          </w:p>
        </w:tc>
        <w:tc>
          <w:tcPr/>
          <w:p>
            <w:pPr>
              <w:pStyle w:val="Compact"/>
            </w:pPr>
            <w:r>
              <w:t xml:space="preserve">$1,815,609</w:t>
            </w:r>
          </w:p>
        </w:tc>
        <w:tc>
          <w:tcPr/>
          <w:p>
            <w:pPr>
              <w:pStyle w:val="Compact"/>
            </w:pPr>
            <w:r>
              <w:t xml:space="preserve">+32.1%</w:t>
            </w:r>
          </w:p>
        </w:tc>
        <w:tc>
          <w:tcPr/>
          <w:p>
            <w:pPr>
              <w:pStyle w:val="Compact"/>
            </w:pPr>
            <w:r>
              <w:t xml:space="preserve">$1,783,600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2025</w:t>
            </w:r>
          </w:p>
        </w:tc>
        <w:tc>
          <w:tcPr/>
          <w:p>
            <w:pPr>
              <w:pStyle w:val="Compact"/>
            </w:pPr>
            <w:r>
              <w:t xml:space="preserve">$4,489,388</w:t>
            </w:r>
          </w:p>
        </w:tc>
        <w:tc>
          <w:tcPr/>
          <w:p>
            <w:pPr>
              <w:pStyle w:val="Compact"/>
            </w:pPr>
            <w:r>
              <w:t xml:space="preserve">+147.3%</w:t>
            </w:r>
          </w:p>
        </w:tc>
        <w:tc>
          <w:tcPr/>
          <w:p>
            <w:pPr>
              <w:pStyle w:val="Compact"/>
            </w:pPr>
            <w:r>
              <w:t xml:space="preserve">$4,473,390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2025</w:t>
            </w:r>
          </w:p>
        </w:tc>
        <w:tc>
          <w:tcPr/>
          <w:p>
            <w:pPr>
              <w:pStyle w:val="Compact"/>
            </w:pPr>
            <w:r>
              <w:t xml:space="preserve">$5,976,909</w:t>
            </w:r>
          </w:p>
        </w:tc>
        <w:tc>
          <w:tcPr/>
          <w:p>
            <w:pPr>
              <w:pStyle w:val="Compact"/>
            </w:pPr>
            <w:r>
              <w:t xml:space="preserve">+33.1%</w:t>
            </w:r>
          </w:p>
        </w:tc>
        <w:tc>
          <w:tcPr/>
          <w:p>
            <w:pPr>
              <w:pStyle w:val="Compact"/>
            </w:pPr>
            <w:r>
              <w:t xml:space="preserve">$5,930,186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$6,007,878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$5,947,722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$6,001,272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$5,934,869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2025</w:t>
            </w:r>
          </w:p>
        </w:tc>
        <w:tc>
          <w:tcPr/>
          <w:p>
            <w:pPr>
              <w:pStyle w:val="Compact"/>
            </w:pPr>
            <w:r>
              <w:t xml:space="preserve">$7,370,784</w:t>
            </w:r>
          </w:p>
        </w:tc>
        <w:tc>
          <w:tcPr/>
          <w:p>
            <w:pPr>
              <w:pStyle w:val="Compact"/>
            </w:pPr>
            <w:r>
              <w:t xml:space="preserve">+22.8%</w:t>
            </w:r>
          </w:p>
        </w:tc>
        <w:tc>
          <w:tcPr/>
          <w:p>
            <w:pPr>
              <w:pStyle w:val="Compact"/>
            </w:pPr>
            <w:r>
              <w:t xml:space="preserve">$7,329,656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$7,400,767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$7,297,223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Asset Allocation Evolution:</w:t>
      </w:r>
      <w:r>
        <w:t xml:space="preserve"> </w:t>
      </w:r>
      <w:r>
        <w:t xml:space="preserve">- Early stage (Jun-Oct 2024): Limited asset base, initial capital deployment</w:t>
      </w:r>
      <w:r>
        <w:t xml:space="preserve"> </w:t>
      </w:r>
      <w:r>
        <w:t xml:space="preserve">- Growth phase (Nov 2024-Jun 2025): Expansion to multi-asset portfolio</w:t>
      </w:r>
      <w:r>
        <w:t xml:space="preserve"> </w:t>
      </w:r>
      <w:r>
        <w:t xml:space="preserve">- Scale phase (Jul 2025-Present): Diversified across 39 cryptocurrency assets</w:t>
      </w:r>
    </w:p>
    <w:bookmarkEnd w:id="10"/>
    <w:bookmarkStart w:id="11" w:name="funding-rate-analysis"/>
    <w:p>
      <w:pPr>
        <w:pStyle w:val="Heading3"/>
      </w:pPr>
      <w:r>
        <w:t xml:space="preserve">Funding Rate Analysis</w:t>
      </w:r>
    </w:p>
    <w:p>
      <w:pPr>
        <w:pStyle w:val="FirstParagraph"/>
      </w:pPr>
      <w:r>
        <w:rPr>
          <w:b/>
          <w:bCs/>
        </w:rPr>
        <w:t xml:space="preserve">Current Performance (as of Dec 13, 2025):</w:t>
      </w:r>
      <w:r>
        <w:t xml:space="preserve"> </w:t>
      </w:r>
      <w:r>
        <w:t xml:space="preserve">- Expected APR: 2.43%</w:t>
      </w:r>
      <w:r>
        <w:t xml:space="preserve"> </w:t>
      </w:r>
      <w:r>
        <w:t xml:space="preserve">- Implied APR: -0.72%</w:t>
      </w:r>
      <w:r>
        <w:t xml:space="preserve"> </w:t>
      </w:r>
      <w:r>
        <w:t xml:space="preserve">- 90-Day APY:</w:t>
      </w:r>
      <w:r>
        <w:t xml:space="preserve"> </w:t>
      </w:r>
      <w:r>
        <w:rPr>
          <w:b/>
          <w:bCs/>
        </w:rPr>
        <w:t xml:space="preserve">16.03%</w:t>
      </w:r>
      <w:r>
        <w:t xml:space="preserve"> </w:t>
      </w:r>
      <w:r>
        <w:t xml:space="preserve">- 30-Day APY:</w:t>
      </w:r>
      <w:r>
        <w:t xml:space="preserve"> </w:t>
      </w:r>
      <w:r>
        <w:rPr>
          <w:b/>
          <w:bCs/>
        </w:rPr>
        <w:t xml:space="preserve">34.82%</w:t>
      </w:r>
    </w:p>
    <w:p>
      <w:pPr>
        <w:pStyle w:val="BodyText"/>
      </w:pPr>
      <w:r>
        <w:rPr>
          <w:b/>
          <w:bCs/>
        </w:rPr>
        <w:t xml:space="preserve">Historical Funding Rates (Oct 2024 - Dec 2025):</w:t>
      </w:r>
    </w:p>
    <w:p>
      <w:pPr>
        <w:pStyle w:val="BodyText"/>
      </w:pPr>
      <w:r>
        <w:rPr>
          <w:i/>
          <w:iCs/>
        </w:rPr>
        <w:t xml:space="preserve">Peak Performance Periods: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Expected APR:</w:t>
      </w:r>
      <w:r>
        <w:t xml:space="preserve"> </w:t>
      </w:r>
      <w:r>
        <w:t xml:space="preserve">41.68% (December 8,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Implied APR:</w:t>
      </w:r>
      <w:r>
        <w:t xml:space="preserve"> </w:t>
      </w:r>
      <w:r>
        <w:t xml:space="preserve">13.07% (January 29,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90-Day APY:</w:t>
      </w:r>
      <w:r>
        <w:t xml:space="preserve"> </w:t>
      </w:r>
      <w:r>
        <w:t xml:space="preserve">86.59% (December 17,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30-Day APY:</w:t>
      </w:r>
      <w:r>
        <w:t xml:space="preserve"> </w:t>
      </w:r>
      <w:r>
        <w:t xml:space="preserve">86.59% (December 17, 2024)</w:t>
      </w:r>
    </w:p>
    <w:p>
      <w:pPr>
        <w:pStyle w:val="BodyText"/>
      </w:pPr>
      <w:r>
        <w:rPr>
          <w:i/>
          <w:iCs/>
        </w:rPr>
        <w:t xml:space="preserve">Performance Distribution:</w:t>
      </w:r>
      <w:r>
        <w:t xml:space="preserve"> </w:t>
      </w:r>
      <w:r>
        <w:t xml:space="preserve">- Periods with &gt;20% APY: Frequent during Q4 2024</w:t>
      </w:r>
      <w:r>
        <w:t xml:space="preserve"> </w:t>
      </w:r>
      <w:r>
        <w:t xml:space="preserve">- Periods with &gt;10% APY: Sustained through late 2024 and early 2025</w:t>
      </w:r>
      <w:r>
        <w:t xml:space="preserve"> </w:t>
      </w:r>
      <w:r>
        <w:t xml:space="preserve">- Current stable performance: 16% 90-day APY (well above traditional benchmarks)</w:t>
      </w:r>
    </w:p>
    <w:p>
      <w:pPr>
        <w:pStyle w:val="BodyText"/>
      </w:pPr>
      <w:r>
        <w:rPr>
          <w:b/>
          <w:bCs/>
        </w:rPr>
        <w:t xml:space="preserve">Funding Rate Volatility:</w:t>
      </w:r>
      <w:r>
        <w:t xml:space="preserve"> </w:t>
      </w:r>
      <w:r>
        <w:t xml:space="preserve">The data shows significant APR/APY fluctuations typical of crypto funding rate strategies, with performance ranging from negative rates during bearish periods to exceptional 80%+ yields during favorable market conditions. The 90-day rolling APY smooths out short-term volatility and provides a more conservative performance indicator.</w:t>
      </w:r>
    </w:p>
    <w:bookmarkEnd w:id="11"/>
    <w:bookmarkStart w:id="12" w:name="asset-pool-composition"/>
    <w:p>
      <w:pPr>
        <w:pStyle w:val="Heading3"/>
      </w:pPr>
      <w:r>
        <w:t xml:space="preserve">Asset Pool Composition</w:t>
      </w:r>
    </w:p>
    <w:p>
      <w:pPr>
        <w:pStyle w:val="FirstParagraph"/>
      </w:pPr>
      <w:r>
        <w:rPr>
          <w:b/>
          <w:bCs/>
        </w:rPr>
        <w:t xml:space="preserve">Current Asset Allocation (as of latest data):</w:t>
      </w:r>
    </w:p>
    <w:p>
      <w:pPr>
        <w:pStyle w:val="BodyText"/>
      </w:pPr>
      <w:r>
        <w:rPr>
          <w:i/>
          <w:iCs/>
        </w:rPr>
        <w:t xml:space="preserve">Top Holdings: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Allocation %</w:t>
            </w:r>
          </w:p>
        </w:tc>
        <w:tc>
          <w:tcPr/>
          <w:p>
            <w:pPr>
              <w:pStyle w:val="Compact"/>
            </w:pPr>
            <w:r>
              <w:t xml:space="preserve">USD Value</w:t>
            </w:r>
          </w:p>
        </w:tc>
        <w:tc>
          <w:tcPr/>
          <w:p>
            <w:pPr>
              <w:pStyle w:val="Compact"/>
            </w:pPr>
            <w:r>
              <w:t xml:space="preserve">Current APR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</w:t>
            </w:r>
          </w:p>
        </w:tc>
        <w:tc>
          <w:tcPr/>
          <w:p>
            <w:pPr>
              <w:pStyle w:val="Compact"/>
            </w:pPr>
            <w:r>
              <w:t xml:space="preserve">62.4%</w:t>
            </w:r>
          </w:p>
        </w:tc>
        <w:tc>
          <w:tcPr/>
          <w:p>
            <w:pPr>
              <w:pStyle w:val="Compact"/>
            </w:pPr>
            <w:r>
              <w:t xml:space="preserve">$4,600,000</w:t>
            </w:r>
          </w:p>
        </w:tc>
        <w:tc>
          <w:tcPr/>
          <w:p>
            <w:pPr>
              <w:pStyle w:val="Compact"/>
            </w:pPr>
            <w:r>
              <w:t xml:space="preserve">2.08%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$1,400,000</w:t>
            </w:r>
          </w:p>
        </w:tc>
        <w:tc>
          <w:tcPr/>
          <w:p>
            <w:pPr>
              <w:pStyle w:val="Compact"/>
            </w:pPr>
            <w:r>
              <w:t xml:space="preserve">2.01%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DOGE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$779,000</w:t>
            </w:r>
          </w:p>
        </w:tc>
        <w:tc>
          <w:tcPr/>
          <w:p>
            <w:pPr>
              <w:pStyle w:val="Compact"/>
            </w:pPr>
            <w:r>
              <w:t xml:space="preserve">0.10%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  <w:tc>
          <w:tcPr/>
          <w:p>
            <w:pPr>
              <w:pStyle w:val="Compact"/>
            </w:pPr>
            <w:r>
              <w:t xml:space="preserve">$560,000</w:t>
            </w:r>
          </w:p>
        </w:tc>
        <w:tc>
          <w:tcPr/>
          <w:p>
            <w:pPr>
              <w:pStyle w:val="Compact"/>
            </w:pPr>
            <w:r>
              <w:t xml:space="preserve">8.08%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USDC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$44,000</w:t>
            </w:r>
          </w:p>
        </w:tc>
        <w:tc>
          <w:tcPr/>
          <w:p>
            <w:pPr>
              <w:pStyle w:val="Compact"/>
            </w:pPr>
            <w:r>
              <w:t xml:space="preserve">0% (stable)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USDT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$977</w:t>
            </w:r>
          </w:p>
        </w:tc>
        <w:tc>
          <w:tcPr/>
          <w:p>
            <w:pPr>
              <w:pStyle w:val="Compact"/>
            </w:pPr>
            <w:r>
              <w:t xml:space="preserve">0% (stable)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Asset Diversification: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39 unique cryptocurrency assets</w:t>
      </w:r>
      <w:r>
        <w:t xml:space="preserve"> </w:t>
      </w:r>
      <w:r>
        <w:t xml:space="preserve">in the trading pool</w:t>
      </w:r>
      <w:r>
        <w:t xml:space="preserve"> </w:t>
      </w:r>
      <w:r>
        <w:t xml:space="preserve">- Mix of major cap (BTC, ETH, SOL), mid-cap alts, and stablecoins</w:t>
      </w:r>
      <w:r>
        <w:t xml:space="preserve"> </w:t>
      </w:r>
      <w:r>
        <w:t xml:space="preserve">- Dynamic rebalancing based on funding rate opportunities</w:t>
      </w:r>
    </w:p>
    <w:p>
      <w:pPr>
        <w:pStyle w:val="BodyText"/>
      </w:pPr>
      <w:r>
        <w:rPr>
          <w:b/>
          <w:bCs/>
        </w:rPr>
        <w:t xml:space="preserve">Full Asset Universe:</w:t>
      </w:r>
      <w:r>
        <w:t xml:space="preserve"> </w:t>
      </w:r>
      <w:r>
        <w:t xml:space="preserve">BTC, ETH, SOL, BNB, XRP, ADA, DOGE, AVAX, DOT, LINK, LTC, BCH, UNI, MATIC, ATOM, XLM, FTM, ALGO, VET, ICP, EOS, AAVE, ETC, FIL, THETA, MANA, SAND, AXS, CHZ, RUNE, GMT, NEAR, OP, TRX, USDC, USDT, and others.</w:t>
      </w:r>
    </w:p>
    <w:p>
      <w:pPr>
        <w:pStyle w:val="BodyText"/>
      </w:pPr>
      <w:r>
        <w:rPr>
          <w:b/>
          <w:bCs/>
        </w:rPr>
        <w:t xml:space="preserve">Allocation Strategy:</w:t>
      </w:r>
      <w:r>
        <w:t xml:space="preserve"> </w:t>
      </w:r>
      <w:r>
        <w:t xml:space="preserve">- Core positions (BTC, SOL): 81.3%</w:t>
      </w:r>
      <w:r>
        <w:t xml:space="preserve"> </w:t>
      </w:r>
      <w:r>
        <w:t xml:space="preserve">- Alternative assets: 18.1%</w:t>
      </w:r>
      <w:r>
        <w:t xml:space="preserve"> </w:t>
      </w:r>
      <w:r>
        <w:t xml:space="preserve">- Stablecoins (reserve): 0.6%</w:t>
      </w:r>
    </w:p>
    <w:bookmarkEnd w:id="12"/>
    <w:bookmarkStart w:id="13" w:name="revenue-breakdown"/>
    <w:p>
      <w:pPr>
        <w:pStyle w:val="Heading3"/>
      </w:pPr>
      <w:r>
        <w:t xml:space="preserve">Revenue Breakdown</w:t>
      </w:r>
    </w:p>
    <w:p>
      <w:pPr>
        <w:pStyle w:val="FirstParagraph"/>
      </w:pPr>
      <w:r>
        <w:rPr>
          <w:b/>
          <w:bCs/>
        </w:rPr>
        <w:t xml:space="preserve">2025 Performance (January - November):</w:t>
      </w:r>
    </w:p>
    <w:p>
      <w:pPr>
        <w:pStyle w:val="BodyText"/>
      </w:pPr>
      <w:r>
        <w:rPr>
          <w:b/>
          <w:bCs/>
        </w:rPr>
        <w:t xml:space="preserve">Total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Revenue Generated:</w:t>
      </w:r>
      <w:r>
        <w:t xml:space="preserve"> </w:t>
      </w:r>
      <w:r>
        <w:t xml:space="preserve">$310,455.13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Commission Earned:</w:t>
      </w:r>
      <w:r>
        <w:t xml:space="preserve"> </w:t>
      </w:r>
      <w:r>
        <w:t xml:space="preserve">$65,611.85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Commission Rate:</w:t>
      </w:r>
      <w:r>
        <w:t xml:space="preserve"> </w:t>
      </w:r>
      <w:r>
        <w:t xml:space="preserve">21.1%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Monthly Revenue:</w:t>
      </w:r>
      <w:r>
        <w:t xml:space="preserve"> </w:t>
      </w:r>
      <w:r>
        <w:t xml:space="preserve">$28,223 (excluding zero months)</w:t>
      </w:r>
    </w:p>
    <w:p>
      <w:pPr>
        <w:pStyle w:val="BodyText"/>
      </w:pPr>
      <w:r>
        <w:rPr>
          <w:b/>
          <w:bCs/>
        </w:rPr>
        <w:t xml:space="preserve">Monthly Revenue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Commission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2025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$6,147.01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2025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2025</w:t>
            </w:r>
          </w:p>
        </w:tc>
        <w:tc>
          <w:tcPr/>
          <w:p>
            <w:pPr>
              <w:pStyle w:val="Compact"/>
            </w:pPr>
            <w:r>
              <w:t xml:space="preserve">$19,485.54</w:t>
            </w:r>
          </w:p>
        </w:tc>
        <w:tc>
          <w:tcPr/>
          <w:p>
            <w:pPr>
              <w:pStyle w:val="Compact"/>
            </w:pPr>
            <w:r>
              <w:t xml:space="preserve">$2,015.29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2025</w:t>
            </w:r>
          </w:p>
        </w:tc>
        <w:tc>
          <w:tcPr/>
          <w:p>
            <w:pPr>
              <w:pStyle w:val="Compact"/>
            </w:pPr>
            <w:r>
              <w:t xml:space="preserve">$25,888.29</w:t>
            </w:r>
          </w:p>
        </w:tc>
        <w:tc>
          <w:tcPr/>
          <w:p>
            <w:pPr>
              <w:pStyle w:val="Compact"/>
            </w:pPr>
            <w:r>
              <w:t xml:space="preserve">$15,241.10</w:t>
            </w:r>
          </w:p>
        </w:tc>
        <w:tc>
          <w:tcPr/>
          <w:p>
            <w:pPr>
              <w:pStyle w:val="Compact"/>
            </w:pPr>
            <w:r>
              <w:t xml:space="preserve">58.9%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2025</w:t>
            </w:r>
          </w:p>
        </w:tc>
        <w:tc>
          <w:tcPr/>
          <w:p>
            <w:pPr>
              <w:pStyle w:val="Compact"/>
            </w:pPr>
            <w:r>
              <w:t xml:space="preserve">$113,196.62</w:t>
            </w:r>
          </w:p>
        </w:tc>
        <w:tc>
          <w:tcPr/>
          <w:p>
            <w:pPr>
              <w:pStyle w:val="Compact"/>
            </w:pPr>
            <w:r>
              <w:t xml:space="preserve">$12,127.40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2025</w:t>
            </w:r>
          </w:p>
        </w:tc>
        <w:tc>
          <w:tcPr/>
          <w:p>
            <w:pPr>
              <w:pStyle w:val="Compact"/>
            </w:pPr>
            <w:r>
              <w:t xml:space="preserve">$16,290.03</w:t>
            </w:r>
          </w:p>
        </w:tc>
        <w:tc>
          <w:tcPr/>
          <w:p>
            <w:pPr>
              <w:pStyle w:val="Compact"/>
            </w:pPr>
            <w:r>
              <w:t xml:space="preserve">$3,260.29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2025</w:t>
            </w:r>
          </w:p>
        </w:tc>
        <w:tc>
          <w:tcPr/>
          <w:p>
            <w:pPr>
              <w:pStyle w:val="Compact"/>
            </w:pPr>
            <w:r>
              <w:t xml:space="preserve">$29,486.23</w:t>
            </w:r>
          </w:p>
        </w:tc>
        <w:tc>
          <w:tcPr/>
          <w:p>
            <w:pPr>
              <w:pStyle w:val="Compact"/>
            </w:pPr>
            <w:r>
              <w:t xml:space="preserve">$5,578.38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2025</w:t>
            </w:r>
          </w:p>
        </w:tc>
        <w:tc>
          <w:tcPr/>
          <w:p>
            <w:pPr>
              <w:pStyle w:val="Compact"/>
            </w:pPr>
            <w:r>
              <w:t xml:space="preserve">$49,417.33</w:t>
            </w:r>
          </w:p>
        </w:tc>
        <w:tc>
          <w:tcPr/>
          <w:p>
            <w:pPr>
              <w:pStyle w:val="Compact"/>
            </w:pPr>
            <w:r>
              <w:t xml:space="preserve">$9,886.13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$31,078.27</w:t>
            </w:r>
          </w:p>
        </w:tc>
        <w:tc>
          <w:tcPr/>
          <w:p>
            <w:pPr>
              <w:pStyle w:val="Compact"/>
            </w:pPr>
            <w:r>
              <w:t xml:space="preserve">$6,215.68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$25,612.82</w:t>
            </w:r>
          </w:p>
        </w:tc>
        <w:tc>
          <w:tcPr/>
          <w:p>
            <w:pPr>
              <w:pStyle w:val="Compact"/>
            </w:pPr>
            <w:r>
              <w:t xml:space="preserve">$5,140.57</w:t>
            </w:r>
          </w:p>
        </w:tc>
        <w:tc>
          <w:tcPr/>
          <w:p>
            <w:pPr>
              <w:pStyle w:val="Compact"/>
            </w:pPr>
            <w:r>
              <w:t xml:space="preserve">20.1%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2025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Peak Revenue Month:</w:t>
      </w:r>
      <w:r>
        <w:t xml:space="preserve"> </w:t>
      </w:r>
      <w:r>
        <w:t xml:space="preserve">May 2025 with $113,196.62</w:t>
      </w:r>
    </w:p>
    <w:p>
      <w:pPr>
        <w:pStyle w:val="BodyText"/>
      </w:pPr>
      <w:r>
        <w:rPr>
          <w:b/>
          <w:bCs/>
        </w:rPr>
        <w:t xml:space="preserve">Revenue Sources:</w:t>
      </w:r>
      <w:r>
        <w:t xml:space="preserve"> </w:t>
      </w:r>
      <w:r>
        <w:t xml:space="preserve">- Primary source: Funding rate income from perpetual futures positions</w:t>
      </w:r>
      <w:r>
        <w:t xml:space="preserve"> </w:t>
      </w:r>
      <w:r>
        <w:t xml:space="preserve">- Secondary source: Staking rewards on select proof-of-stake assets</w:t>
      </w:r>
      <w:r>
        <w:t xml:space="preserve"> </w:t>
      </w:r>
      <w:r>
        <w:t xml:space="preserve">- All revenue is generated through delta-neutral arbitrage strategies</w:t>
      </w:r>
    </w:p>
    <w:p>
      <w:pPr>
        <w:pStyle w:val="BodyText"/>
      </w:pPr>
      <w:r>
        <w:rPr>
          <w:b/>
          <w:bCs/>
        </w:rPr>
        <w:t xml:space="preserve">Commission Structure:</w:t>
      </w:r>
      <w:r>
        <w:t xml:space="preserve"> </w:t>
      </w:r>
      <w:r>
        <w:t xml:space="preserve">- Standard commission rate stabilized at ~20% from June 2025 onwards</w:t>
      </w:r>
      <w:r>
        <w:t xml:space="preserve"> </w:t>
      </w:r>
      <w:r>
        <w:t xml:space="preserve">- Commission represents fees earned on gross revenue generated</w:t>
      </w:r>
      <w:r>
        <w:t xml:space="preserve"> </w:t>
      </w:r>
      <w:r>
        <w:t xml:space="preserve">- Net revenue to investors: 80% of gross funding rate income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historical performance data represents actual results through December 2025. Past performance does not guarantee future results. All APY figures are annualized and subject to market volatility.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2025-12-23T16:32:11Z</dcterms:created>
  <dcterms:modified xsi:type="dcterms:W3CDTF">2025-12-23T16:32:11Z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