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6" w:after="1"/>
        <w:ind w:left="0"/>
        <w:rPr>
          <w:rFonts w:ascii="Times New Roman"/>
          <w:sz w:val="10"/>
        </w:rPr>
      </w:pPr>
      <w:bookmarkStart w:id="8" w:name="_GoBack"/>
      <w:bookmarkEnd w:id="8"/>
    </w:p>
    <w:p>
      <w:pPr>
        <w:pStyle w:val="3"/>
        <w:spacing w:line="20" w:lineRule="exact"/>
        <w:ind w:left="95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33" o:spid="_x0000_s1033" o:spt="203" style="height:0.5pt;width:456.2pt;" coordsize="9124,10">
            <o:lock v:ext="edit"/>
            <v:line id="_x0000_s1034" o:spid="_x0000_s1034" o:spt="20" style="position:absolute;left:0;top:5;height:0;width:9124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9"/>
        <w:ind w:left="0"/>
        <w:rPr>
          <w:rFonts w:ascii="Times New Roman"/>
          <w:sz w:val="7"/>
        </w:rPr>
      </w:pPr>
    </w:p>
    <w:p>
      <w:pPr>
        <w:spacing w:before="16"/>
        <w:ind w:left="4321" w:right="4338" w:firstLine="0"/>
        <w:jc w:val="center"/>
        <w:rPr>
          <w:b/>
          <w:sz w:val="32"/>
        </w:rPr>
      </w:pPr>
      <w:r>
        <w:rPr>
          <w:b/>
          <w:sz w:val="32"/>
        </w:rPr>
        <w:t>目录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6"/>
            <w:tabs>
              <w:tab w:val="left" w:pos="609"/>
              <w:tab w:val="right" w:leader="dot" w:pos="9183"/>
            </w:tabs>
            <w:spacing w:before="36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一</w:t>
          </w:r>
          <w:r>
            <w:rPr>
              <w:rFonts w:ascii="Calibri" w:eastAsia="Calibri"/>
            </w:rPr>
            <w:t>.</w:t>
          </w:r>
          <w:r>
            <w:rPr>
              <w:rFonts w:ascii="Calibri" w:eastAsia="Calibri"/>
            </w:rPr>
            <w:tab/>
          </w:r>
          <w:r>
            <w:t>通用安全开发要求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rPr>
              <w:rFonts w:ascii="Calibri" w:eastAsia="Calibri"/>
            </w:rPr>
            <w:t>1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left" w:pos="609"/>
              <w:tab w:val="right" w:leader="dot" w:pos="9183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二</w:t>
          </w:r>
          <w:r>
            <w:rPr>
              <w:rFonts w:ascii="Calibri" w:eastAsia="Calibri"/>
            </w:rPr>
            <w:t>.</w:t>
          </w:r>
          <w:r>
            <w:rPr>
              <w:rFonts w:ascii="Calibri" w:eastAsia="Calibri"/>
            </w:rPr>
            <w:tab/>
          </w:r>
          <w:r>
            <w:t>输入验证与输出净化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rFonts w:ascii="Calibri" w:eastAsia="Calibri"/>
            </w:rPr>
            <w:t>1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left" w:pos="609"/>
              <w:tab w:val="right" w:leader="dot" w:pos="9183"/>
            </w:tabs>
            <w:spacing w:before="179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三</w:t>
          </w:r>
          <w:r>
            <w:rPr>
              <w:rFonts w:ascii="Calibri" w:eastAsia="Calibri"/>
            </w:rPr>
            <w:t>.</w:t>
          </w:r>
          <w:r>
            <w:rPr>
              <w:rFonts w:ascii="Calibri" w:eastAsia="Calibri"/>
            </w:rPr>
            <w:tab/>
          </w:r>
          <w:r>
            <w:t>身份验证与权限控制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rFonts w:ascii="Calibri" w:eastAsia="Calibri"/>
            </w:rPr>
            <w:t>2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left" w:pos="609"/>
              <w:tab w:val="right" w:leader="dot" w:pos="9183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四</w:t>
          </w:r>
          <w:r>
            <w:rPr>
              <w:rFonts w:ascii="Calibri" w:eastAsia="Calibri"/>
            </w:rPr>
            <w:t>.</w:t>
          </w:r>
          <w:r>
            <w:rPr>
              <w:rFonts w:ascii="Calibri" w:eastAsia="Calibri"/>
            </w:rPr>
            <w:tab/>
          </w:r>
          <w:r>
            <w:t>文件及资源管理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rFonts w:ascii="Calibri" w:eastAsia="Calibri"/>
            </w:rPr>
            <w:t>3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left" w:pos="609"/>
              <w:tab w:val="right" w:leader="dot" w:pos="9183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五</w:t>
          </w:r>
          <w:r>
            <w:rPr>
              <w:rFonts w:ascii="Calibri" w:eastAsia="Calibri"/>
            </w:rPr>
            <w:t>.</w:t>
          </w:r>
          <w:r>
            <w:rPr>
              <w:rFonts w:ascii="Calibri" w:eastAsia="Calibri"/>
            </w:rPr>
            <w:tab/>
          </w:r>
          <w:r>
            <w:t>会话管理与通信安全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rFonts w:ascii="Calibri" w:eastAsia="Calibri"/>
            </w:rPr>
            <w:t>3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left" w:pos="609"/>
              <w:tab w:val="right" w:leader="dot" w:pos="9183"/>
            </w:tabs>
            <w:spacing w:before="179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六</w:t>
          </w:r>
          <w:r>
            <w:rPr>
              <w:rFonts w:ascii="Calibri" w:eastAsia="Calibri"/>
            </w:rPr>
            <w:t>.</w:t>
          </w:r>
          <w:r>
            <w:rPr>
              <w:rFonts w:ascii="Calibri" w:eastAsia="Calibri"/>
            </w:rPr>
            <w:tab/>
          </w:r>
          <w:r>
            <w:t>异常处理与日志审计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rFonts w:ascii="Calibri" w:eastAsia="Calibri"/>
            </w:rPr>
            <w:t>4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left" w:pos="609"/>
              <w:tab w:val="right" w:leader="dot" w:pos="9183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七</w:t>
          </w:r>
          <w:r>
            <w:rPr>
              <w:rFonts w:ascii="Calibri" w:eastAsia="Calibri"/>
            </w:rPr>
            <w:t>.</w:t>
          </w:r>
          <w:r>
            <w:rPr>
              <w:rFonts w:ascii="Calibri" w:eastAsia="Calibri"/>
            </w:rPr>
            <w:tab/>
          </w:r>
          <w:r>
            <w:t>敏感数据加密与保护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rPr>
              <w:rFonts w:ascii="Calibri" w:eastAsia="Calibri"/>
            </w:rPr>
            <w:t>5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left" w:pos="609"/>
              <w:tab w:val="right" w:leader="dot" w:pos="9183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八</w:t>
          </w:r>
          <w:r>
            <w:rPr>
              <w:rFonts w:ascii="Calibri" w:eastAsia="Calibri"/>
            </w:rPr>
            <w:t>.</w:t>
          </w:r>
          <w:r>
            <w:rPr>
              <w:rFonts w:ascii="Calibri" w:eastAsia="Calibri"/>
            </w:rPr>
            <w:tab/>
          </w:r>
          <w:r>
            <w:t>业务安全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rFonts w:ascii="Calibri" w:eastAsia="Calibri"/>
            </w:rPr>
            <w:t>6</w:t>
          </w:r>
          <w:r>
            <w:rPr>
              <w:rFonts w:ascii="Calibri" w:eastAsia="Calibri"/>
            </w:rPr>
            <w:fldChar w:fldCharType="end"/>
          </w:r>
        </w:p>
      </w:sdtContent>
    </w:sdt>
    <w:p>
      <w:pPr>
        <w:spacing w:after="0"/>
        <w:rPr>
          <w:rFonts w:ascii="Calibri" w:eastAsia="Calibri"/>
        </w:rPr>
        <w:sectPr>
          <w:headerReference r:id="rId5" w:type="default"/>
          <w:footerReference r:id="rId6" w:type="default"/>
          <w:pgSz w:w="12240" w:h="15840"/>
          <w:pgMar w:top="1060" w:right="1440" w:bottom="1100" w:left="1460" w:header="717" w:footer="917" w:gutter="0"/>
          <w:cols w:space="720" w:num="1"/>
        </w:sectPr>
      </w:pPr>
    </w:p>
    <w:p>
      <w:pPr>
        <w:pStyle w:val="2"/>
        <w:tabs>
          <w:tab w:val="left" w:pos="849"/>
        </w:tabs>
        <w:spacing w:before="168"/>
      </w:pPr>
      <w:bookmarkStart w:id="0" w:name="_bookmark0"/>
      <w:bookmarkEnd w:id="0"/>
      <w:r>
        <w:t>一.</w:t>
      </w:r>
      <w:r>
        <w:tab/>
      </w:r>
      <w:r>
        <w:t>通用安</w:t>
      </w:r>
      <w:r>
        <w:rPr>
          <w:spacing w:val="-3"/>
        </w:rPr>
        <w:t>全</w:t>
      </w:r>
      <w:r>
        <w:t>开发</w:t>
      </w:r>
      <w:r>
        <w:rPr>
          <w:spacing w:val="-3"/>
        </w:rPr>
        <w:t>要求</w:t>
      </w:r>
    </w:p>
    <w:p>
      <w:pPr>
        <w:pStyle w:val="3"/>
        <w:spacing w:line="355" w:lineRule="exact"/>
      </w:pPr>
      <w:r>
        <w:t>SC-1-1 使用“经测试和可信的平台/框架代码”开发应用程序。</w:t>
      </w:r>
    </w:p>
    <w:p>
      <w:pPr>
        <w:pStyle w:val="3"/>
        <w:spacing w:before="15"/>
        <w:ind w:left="0"/>
        <w:rPr>
          <w:sz w:val="27"/>
        </w:rPr>
      </w:pPr>
    </w:p>
    <w:p>
      <w:pPr>
        <w:pStyle w:val="3"/>
      </w:pPr>
      <w:r>
        <w:t>SC-1-2 应用系统应当保持对所依赖的框架、第三方组件的更新，以避免出现已知漏洞。</w:t>
      </w:r>
    </w:p>
    <w:p>
      <w:pPr>
        <w:pStyle w:val="3"/>
        <w:spacing w:before="18"/>
        <w:ind w:left="0"/>
        <w:rPr>
          <w:sz w:val="27"/>
        </w:rPr>
      </w:pPr>
    </w:p>
    <w:p>
      <w:pPr>
        <w:pStyle w:val="3"/>
        <w:spacing w:line="278" w:lineRule="auto"/>
        <w:ind w:right="346"/>
      </w:pPr>
      <w:r>
        <w:t>SC-1-3 应用程序应避免于页面（比如：HTML、JavaScript）中包含技术性注释语句、功能说明或解释等信息。</w:t>
      </w:r>
    </w:p>
    <w:p>
      <w:pPr>
        <w:pStyle w:val="3"/>
        <w:spacing w:before="9"/>
        <w:ind w:left="0"/>
        <w:rPr>
          <w:sz w:val="24"/>
        </w:rPr>
      </w:pPr>
    </w:p>
    <w:p>
      <w:pPr>
        <w:pStyle w:val="3"/>
        <w:spacing w:line="280" w:lineRule="auto"/>
        <w:ind w:right="261"/>
      </w:pPr>
      <w:r>
        <w:t>SC-1-4 应用系统上线前，应删除相应的测试内容，包括但不限于：测试页面、测试用例、测试代码、控制台输出等。</w:t>
      </w:r>
    </w:p>
    <w:p>
      <w:pPr>
        <w:pStyle w:val="3"/>
        <w:spacing w:before="3"/>
        <w:ind w:left="0"/>
        <w:rPr>
          <w:sz w:val="24"/>
        </w:rPr>
      </w:pPr>
    </w:p>
    <w:p>
      <w:pPr>
        <w:pStyle w:val="3"/>
      </w:pPr>
      <w:r>
        <w:t>SC-1-5 应用系统部署后，应删除默认部署页面，禁止留存 SVN/Git 相关文件、备份文件等。</w:t>
      </w:r>
    </w:p>
    <w:p>
      <w:pPr>
        <w:pStyle w:val="3"/>
        <w:spacing w:before="15"/>
        <w:ind w:left="0"/>
        <w:rPr>
          <w:sz w:val="27"/>
        </w:rPr>
      </w:pPr>
    </w:p>
    <w:p>
      <w:pPr>
        <w:pStyle w:val="3"/>
        <w:spacing w:line="280" w:lineRule="auto"/>
        <w:ind w:right="183"/>
      </w:pPr>
      <w:r>
        <w:t>SC-1-6 如果应用软件部署在客户端，例如移动 APP，应使用混淆、签名、加固等措施防止逆向获取源代码。</w:t>
      </w:r>
    </w:p>
    <w:p>
      <w:pPr>
        <w:pStyle w:val="2"/>
        <w:tabs>
          <w:tab w:val="left" w:pos="849"/>
        </w:tabs>
      </w:pPr>
      <w:bookmarkStart w:id="1" w:name="_bookmark1"/>
      <w:bookmarkEnd w:id="1"/>
      <w:r>
        <w:t>二.</w:t>
      </w:r>
      <w:r>
        <w:tab/>
      </w:r>
      <w:r>
        <w:t>输入验</w:t>
      </w:r>
      <w:r>
        <w:rPr>
          <w:spacing w:val="-3"/>
        </w:rPr>
        <w:t>证</w:t>
      </w:r>
      <w:r>
        <w:t>与输出</w:t>
      </w:r>
      <w:r>
        <w:rPr>
          <w:spacing w:val="-3"/>
        </w:rPr>
        <w:t>净化</w:t>
      </w:r>
    </w:p>
    <w:p>
      <w:pPr>
        <w:pStyle w:val="3"/>
        <w:spacing w:line="355" w:lineRule="exact"/>
      </w:pPr>
      <w:r>
        <w:t>SC-2-1 应用系统应对所有输入的参数进行合法性、合理性验证，拒绝接受验证失败的数据，包括</w:t>
      </w:r>
    </w:p>
    <w:p>
      <w:pPr>
        <w:pStyle w:val="3"/>
        <w:spacing w:before="62" w:line="280" w:lineRule="auto"/>
        <w:ind w:right="3744"/>
      </w:pPr>
      <w:r>
        <w:t>但不仅限于验证数据的类型、长度、格式、范围和内容等。</w:t>
      </w:r>
      <w:r>
        <w:rPr>
          <w:color w:val="00AFEF"/>
        </w:rPr>
        <w:t>说明：</w:t>
      </w:r>
    </w:p>
    <w:p>
      <w:pPr>
        <w:pStyle w:val="10"/>
        <w:numPr>
          <w:ilvl w:val="0"/>
          <w:numId w:val="1"/>
        </w:numPr>
        <w:tabs>
          <w:tab w:val="left" w:pos="550"/>
        </w:tabs>
        <w:spacing w:before="0" w:after="0" w:line="278" w:lineRule="auto"/>
        <w:ind w:left="549" w:right="171" w:hanging="420"/>
        <w:jc w:val="both"/>
        <w:rPr>
          <w:sz w:val="21"/>
        </w:rPr>
      </w:pPr>
      <w:r>
        <w:rPr>
          <w:spacing w:val="-3"/>
          <w:sz w:val="21"/>
        </w:rPr>
        <w:t>对于输入数据范围可确定的场景，合法性检测建议使用“白名单”的方式（比如：日期、身</w:t>
      </w:r>
      <w:r>
        <w:rPr>
          <w:spacing w:val="-70"/>
          <w:sz w:val="21"/>
        </w:rPr>
        <w:t>份 证</w:t>
      </w:r>
      <w:r>
        <w:rPr>
          <w:spacing w:val="-10"/>
          <w:sz w:val="21"/>
        </w:rPr>
        <w:t>号、银行卡号、手机号、数字等可明确格式的数据，须在服务器端验证格式是否正确</w:t>
      </w:r>
      <w:r>
        <w:rPr>
          <w:sz w:val="21"/>
        </w:rPr>
        <w:t>）。</w:t>
      </w:r>
    </w:p>
    <w:p>
      <w:pPr>
        <w:pStyle w:val="10"/>
        <w:numPr>
          <w:ilvl w:val="0"/>
          <w:numId w:val="1"/>
        </w:numPr>
        <w:tabs>
          <w:tab w:val="left" w:pos="550"/>
        </w:tabs>
        <w:spacing w:before="0" w:after="0" w:line="278" w:lineRule="auto"/>
        <w:ind w:left="549" w:right="171" w:hanging="420"/>
        <w:jc w:val="both"/>
        <w:rPr>
          <w:sz w:val="21"/>
        </w:rPr>
      </w:pPr>
      <w:r>
        <w:rPr>
          <w:spacing w:val="-3"/>
          <w:sz w:val="21"/>
        </w:rPr>
        <w:t>对于输入数据范围不确定的场景，合法性检测可采用“黑名单”的方式</w:t>
      </w:r>
      <w:r>
        <w:rPr>
          <w:sz w:val="21"/>
        </w:rPr>
        <w:t>（</w:t>
      </w:r>
      <w:r>
        <w:rPr>
          <w:spacing w:val="-3"/>
          <w:sz w:val="21"/>
        </w:rPr>
        <w:t>比如：在可自由输</w:t>
      </w:r>
      <w:r>
        <w:rPr>
          <w:spacing w:val="-70"/>
          <w:sz w:val="21"/>
        </w:rPr>
        <w:t>入 的</w:t>
      </w:r>
      <w:r>
        <w:rPr>
          <w:spacing w:val="-11"/>
          <w:sz w:val="21"/>
        </w:rPr>
        <w:t xml:space="preserve">文本框过滤或转义 </w:t>
      </w:r>
      <w:r>
        <w:rPr>
          <w:sz w:val="21"/>
        </w:rPr>
        <w:t>SQL</w:t>
      </w:r>
      <w:r>
        <w:rPr>
          <w:spacing w:val="-3"/>
          <w:sz w:val="21"/>
        </w:rPr>
        <w:t xml:space="preserve"> 关键字、</w:t>
      </w:r>
      <w:r>
        <w:rPr>
          <w:sz w:val="21"/>
        </w:rPr>
        <w:t>HTML</w:t>
      </w:r>
      <w:r>
        <w:rPr>
          <w:spacing w:val="-3"/>
          <w:sz w:val="21"/>
        </w:rPr>
        <w:t xml:space="preserve"> 标签、</w:t>
      </w:r>
      <w:r>
        <w:rPr>
          <w:sz w:val="21"/>
        </w:rPr>
        <w:t>XML</w:t>
      </w:r>
      <w:r>
        <w:rPr>
          <w:spacing w:val="-3"/>
          <w:sz w:val="21"/>
        </w:rPr>
        <w:t xml:space="preserve"> 标签、单引号、双引号、路径字符、换行符、空字节等</w:t>
      </w:r>
      <w:r>
        <w:rPr>
          <w:sz w:val="21"/>
        </w:rPr>
        <w:t>）</w:t>
      </w:r>
      <w:r>
        <w:rPr>
          <w:spacing w:val="-3"/>
          <w:sz w:val="21"/>
        </w:rPr>
        <w:t>。根据实际情况设置黑白名单，避免影响业务正常使用。</w:t>
      </w:r>
    </w:p>
    <w:p>
      <w:pPr>
        <w:pStyle w:val="3"/>
        <w:spacing w:before="9"/>
        <w:ind w:left="0"/>
        <w:rPr>
          <w:sz w:val="24"/>
        </w:rPr>
      </w:pPr>
    </w:p>
    <w:p>
      <w:pPr>
        <w:pStyle w:val="3"/>
        <w:spacing w:line="278" w:lineRule="auto"/>
        <w:ind w:right="339"/>
        <w:jc w:val="both"/>
      </w:pPr>
      <w:r>
        <w:t>SC-2-2</w:t>
      </w:r>
      <w:r>
        <w:rPr>
          <w:spacing w:val="-3"/>
        </w:rPr>
        <w:t xml:space="preserve"> 应用系统应对所有输出到客户端、操作系统、</w:t>
      </w:r>
      <w:r>
        <w:t>Web</w:t>
      </w:r>
      <w:r>
        <w:rPr>
          <w:spacing w:val="-3"/>
        </w:rPr>
        <w:t xml:space="preserve"> 页面等位置的数据进行编码或过滤净化，避免潜在危险字符，导致安全问题发生，包括但不仅限于：</w:t>
      </w:r>
      <w:r>
        <w:t>SQL</w:t>
      </w:r>
      <w:r>
        <w:rPr>
          <w:spacing w:val="-1"/>
        </w:rPr>
        <w:t xml:space="preserve"> 注入漏洞、</w:t>
      </w:r>
      <w:r>
        <w:t>XSS 漏洞、命令</w:t>
      </w:r>
      <w:r>
        <w:rPr>
          <w:spacing w:val="-3"/>
        </w:rPr>
        <w:t>注入漏洞等。</w:t>
      </w:r>
    </w:p>
    <w:p>
      <w:pPr>
        <w:spacing w:after="0" w:line="278" w:lineRule="auto"/>
        <w:jc w:val="both"/>
        <w:sectPr>
          <w:headerReference r:id="rId7" w:type="default"/>
          <w:footerReference r:id="rId8" w:type="default"/>
          <w:pgSz w:w="12240" w:h="15840"/>
          <w:pgMar w:top="1200" w:right="1440" w:bottom="1100" w:left="1460" w:header="717" w:footer="917" w:gutter="0"/>
          <w:cols w:space="720" w:num="1"/>
        </w:sectPr>
      </w:pPr>
    </w:p>
    <w:p>
      <w:pPr>
        <w:pStyle w:val="3"/>
        <w:spacing w:before="141" w:line="280" w:lineRule="auto"/>
        <w:ind w:right="166"/>
      </w:pPr>
      <w:r>
        <w:rPr>
          <w:color w:val="00AFEF"/>
        </w:rPr>
        <w:t>说明：</w:t>
      </w:r>
      <w:r>
        <w:t>常见危险字符如\、'、"、..、/、\r、\n、&lt;、&gt;、^、|、!、`、*、(、)、&amp;、;、 -、:、%等， 应当在服务器端进行安全过滤或转义编码。</w:t>
      </w:r>
    </w:p>
    <w:p>
      <w:pPr>
        <w:pStyle w:val="2"/>
        <w:tabs>
          <w:tab w:val="left" w:pos="849"/>
        </w:tabs>
        <w:spacing w:before="21"/>
      </w:pPr>
      <w:bookmarkStart w:id="2" w:name="_bookmark2"/>
      <w:bookmarkEnd w:id="2"/>
      <w:r>
        <w:t>三.</w:t>
      </w:r>
      <w:r>
        <w:tab/>
      </w:r>
      <w:r>
        <w:t>身份验</w:t>
      </w:r>
      <w:r>
        <w:rPr>
          <w:spacing w:val="-3"/>
        </w:rPr>
        <w:t>证</w:t>
      </w:r>
      <w:r>
        <w:t>与权</w:t>
      </w:r>
      <w:r>
        <w:rPr>
          <w:spacing w:val="-3"/>
        </w:rPr>
        <w:t>限控</w:t>
      </w:r>
      <w:r>
        <w:t>制</w:t>
      </w:r>
    </w:p>
    <w:p>
      <w:pPr>
        <w:pStyle w:val="3"/>
        <w:spacing w:line="355" w:lineRule="exact"/>
      </w:pPr>
      <w:r>
        <w:t>SC-3-1 密码输入界面应采取安全保护措施，包括但不限于：不以明文形式显示密码、利用图形验</w:t>
      </w:r>
    </w:p>
    <w:p>
      <w:pPr>
        <w:pStyle w:val="3"/>
        <w:spacing w:before="64"/>
      </w:pPr>
      <w:r>
        <w:t>证码防止暴力猜解攻击等。</w:t>
      </w:r>
    </w:p>
    <w:p>
      <w:pPr>
        <w:pStyle w:val="3"/>
        <w:spacing w:before="16"/>
        <w:ind w:left="0"/>
        <w:rPr>
          <w:sz w:val="27"/>
        </w:rPr>
      </w:pPr>
    </w:p>
    <w:p>
      <w:pPr>
        <w:pStyle w:val="3"/>
      </w:pPr>
      <w:r>
        <w:t>SC-3-2 密码的创建应当符合复杂度检测要求。</w:t>
      </w:r>
    </w:p>
    <w:p>
      <w:pPr>
        <w:pStyle w:val="3"/>
        <w:spacing w:before="64" w:line="278" w:lineRule="auto"/>
        <w:ind w:right="108"/>
      </w:pPr>
      <w:r>
        <w:rPr>
          <w:color w:val="00AFEF"/>
        </w:rPr>
        <w:t>包括但不限于以下要求：</w:t>
      </w:r>
      <w:r>
        <w:t>静态密码长度至少 8 位，至少应同时包含大小写字母、数字和特殊字符这三类字符中的两类，密码不能与用户名相同，避免密码中包含公司特征密码等等。</w:t>
      </w:r>
    </w:p>
    <w:p>
      <w:pPr>
        <w:pStyle w:val="3"/>
        <w:spacing w:before="11"/>
        <w:ind w:left="0"/>
        <w:rPr>
          <w:sz w:val="24"/>
        </w:rPr>
      </w:pPr>
    </w:p>
    <w:p>
      <w:pPr>
        <w:pStyle w:val="3"/>
        <w:spacing w:line="278" w:lineRule="auto"/>
        <w:ind w:right="259"/>
      </w:pPr>
      <w:r>
        <w:t>SC-3-3 所有的身份验证过程应在可信任环境中执行，且在每次用户登录时进行身份验证。避免仅在客户端而非服务器端执行身份验证。</w:t>
      </w:r>
    </w:p>
    <w:p>
      <w:pPr>
        <w:pStyle w:val="3"/>
        <w:spacing w:before="8"/>
        <w:ind w:left="0"/>
        <w:rPr>
          <w:sz w:val="24"/>
        </w:rPr>
      </w:pPr>
    </w:p>
    <w:p>
      <w:pPr>
        <w:pStyle w:val="3"/>
        <w:spacing w:before="1" w:line="280" w:lineRule="auto"/>
        <w:ind w:right="891"/>
      </w:pPr>
      <w:r>
        <w:t>SC-3-4 服务端应对验证尝试的频率进行限制，连续多次登录失败的，应当对其进行限制。</w:t>
      </w:r>
      <w:r>
        <w:rPr>
          <w:color w:val="00AFEF"/>
        </w:rPr>
        <w:t>说明：</w:t>
      </w:r>
    </w:p>
    <w:p>
      <w:pPr>
        <w:pStyle w:val="10"/>
        <w:numPr>
          <w:ilvl w:val="0"/>
          <w:numId w:val="2"/>
        </w:numPr>
        <w:tabs>
          <w:tab w:val="left" w:pos="549"/>
          <w:tab w:val="left" w:pos="550"/>
        </w:tabs>
        <w:spacing w:before="0" w:after="0" w:line="278" w:lineRule="auto"/>
        <w:ind w:left="549" w:right="423" w:hanging="420"/>
        <w:jc w:val="left"/>
        <w:rPr>
          <w:sz w:val="21"/>
        </w:rPr>
      </w:pPr>
      <w:r>
        <w:rPr>
          <w:spacing w:val="-1"/>
          <w:sz w:val="21"/>
        </w:rPr>
        <w:t xml:space="preserve">限制同一 </w:t>
      </w:r>
      <w:r>
        <w:rPr>
          <w:sz w:val="21"/>
        </w:rPr>
        <w:t>IP</w:t>
      </w:r>
      <w:r>
        <w:rPr>
          <w:spacing w:val="-3"/>
          <w:sz w:val="21"/>
        </w:rPr>
        <w:t xml:space="preserve"> 地址能够进行验证尝试的频率和次数。在超过尝试次数后，封禁 </w:t>
      </w:r>
      <w:r>
        <w:rPr>
          <w:sz w:val="21"/>
        </w:rPr>
        <w:t>IP</w:t>
      </w:r>
      <w:r>
        <w:rPr>
          <w:spacing w:val="-3"/>
          <w:sz w:val="21"/>
        </w:rPr>
        <w:t xml:space="preserve"> 地址一段时间，防止攻击者持续进行暴力破解。</w:t>
      </w:r>
    </w:p>
    <w:p>
      <w:pPr>
        <w:pStyle w:val="10"/>
        <w:numPr>
          <w:ilvl w:val="0"/>
          <w:numId w:val="2"/>
        </w:numPr>
        <w:tabs>
          <w:tab w:val="left" w:pos="549"/>
          <w:tab w:val="left" w:pos="550"/>
        </w:tabs>
        <w:spacing w:before="0" w:after="0" w:line="280" w:lineRule="auto"/>
        <w:ind w:left="549" w:right="170" w:hanging="420"/>
        <w:jc w:val="left"/>
        <w:rPr>
          <w:sz w:val="21"/>
        </w:rPr>
      </w:pPr>
      <w:r>
        <w:rPr>
          <w:spacing w:val="-3"/>
          <w:sz w:val="21"/>
        </w:rPr>
        <w:t>限制同一帐号能够进行验证尝试的频率和次数。在超过尝试次数后，锁定账户一段时间，防止攻击者持续进行暴力破解。</w:t>
      </w:r>
    </w:p>
    <w:p>
      <w:pPr>
        <w:pStyle w:val="3"/>
        <w:spacing w:before="1"/>
        <w:ind w:left="0"/>
        <w:rPr>
          <w:sz w:val="24"/>
        </w:rPr>
      </w:pPr>
    </w:p>
    <w:p>
      <w:pPr>
        <w:pStyle w:val="3"/>
        <w:spacing w:before="1" w:line="278" w:lineRule="auto"/>
        <w:ind w:right="260"/>
      </w:pPr>
      <w:r>
        <w:t>SC-3-5 在用户执行关键或者不可逆的操作，如交易时、修改密码之前，应再次验证用户身份，以减少不安全会话带来的损失，防范跨站请求伪造攻击。</w:t>
      </w:r>
    </w:p>
    <w:p>
      <w:pPr>
        <w:pStyle w:val="3"/>
        <w:spacing w:before="11"/>
        <w:ind w:left="0"/>
        <w:rPr>
          <w:sz w:val="24"/>
        </w:rPr>
      </w:pPr>
    </w:p>
    <w:p>
      <w:pPr>
        <w:pStyle w:val="3"/>
        <w:spacing w:line="278" w:lineRule="auto"/>
        <w:ind w:right="259"/>
      </w:pPr>
      <w:r>
        <w:t>SC-3-6 遵循最小权限原则进行权限管理的设计和实现，将许可权限尽可能地细化，建议使用细粒度权限管理的访问控制。</w:t>
      </w:r>
    </w:p>
    <w:p>
      <w:pPr>
        <w:pStyle w:val="3"/>
        <w:spacing w:before="8"/>
        <w:ind w:left="0"/>
        <w:rPr>
          <w:sz w:val="24"/>
        </w:rPr>
      </w:pPr>
    </w:p>
    <w:p>
      <w:pPr>
        <w:pStyle w:val="3"/>
      </w:pPr>
      <w:r>
        <w:t>SC-3-7 隶属于用户个人的页面或者功能必须进行权限控制校验。</w:t>
      </w:r>
    </w:p>
    <w:p>
      <w:pPr>
        <w:pStyle w:val="3"/>
        <w:spacing w:before="64" w:line="280" w:lineRule="auto"/>
        <w:ind w:right="171"/>
      </w:pPr>
      <w:r>
        <w:rPr>
          <w:color w:val="00AFEF"/>
        </w:rPr>
        <w:t>说明：</w:t>
      </w:r>
      <w:r>
        <w:t>防止水平越权漏洞，避免任意访问、修改、删除他人的数据，比如查看他人的私信内容、修改他人的订单。</w:t>
      </w:r>
    </w:p>
    <w:p>
      <w:pPr>
        <w:spacing w:after="0" w:line="280" w:lineRule="auto"/>
        <w:sectPr>
          <w:footerReference r:id="rId9" w:type="default"/>
          <w:pgSz w:w="12240" w:h="15840"/>
          <w:pgMar w:top="1200" w:right="1440" w:bottom="1100" w:left="1460" w:header="717" w:footer="917" w:gutter="0"/>
          <w:pgNumType w:start="2"/>
          <w:cols w:space="720" w:num="1"/>
        </w:sectPr>
      </w:pPr>
    </w:p>
    <w:p>
      <w:pPr>
        <w:pStyle w:val="3"/>
        <w:spacing w:before="11"/>
        <w:ind w:left="0"/>
        <w:rPr>
          <w:sz w:val="29"/>
        </w:rPr>
      </w:pPr>
    </w:p>
    <w:p>
      <w:pPr>
        <w:pStyle w:val="3"/>
        <w:spacing w:before="46"/>
        <w:jc w:val="both"/>
      </w:pPr>
      <w:r>
        <w:t>SC-3-8 确保只有授权的用户才能访问秘密数据或敏感数据。</w:t>
      </w:r>
    </w:p>
    <w:p>
      <w:pPr>
        <w:pStyle w:val="3"/>
        <w:spacing w:before="62" w:line="280" w:lineRule="auto"/>
        <w:ind w:right="171"/>
        <w:jc w:val="both"/>
      </w:pPr>
      <w:r>
        <w:rPr>
          <w:color w:val="00AFEF"/>
        </w:rPr>
        <w:t>说明：</w:t>
      </w:r>
      <w:r>
        <w:t>通常，这类数据包括：与用户信息或应用软件自身安全密切相关的状态信息、文件或其他资源、受保护的URL、受保护的功能、直接对象引用、应用程序数据以及与安全相关的配置信息等。避免未授权访问。</w:t>
      </w:r>
    </w:p>
    <w:p>
      <w:pPr>
        <w:pStyle w:val="2"/>
        <w:spacing w:before="20"/>
        <w:jc w:val="both"/>
      </w:pPr>
      <w:bookmarkStart w:id="3" w:name="_bookmark3"/>
      <w:bookmarkEnd w:id="3"/>
      <w:r>
        <w:t>四. 文件及资源管理</w:t>
      </w:r>
    </w:p>
    <w:p>
      <w:pPr>
        <w:pStyle w:val="3"/>
        <w:spacing w:line="355" w:lineRule="exact"/>
      </w:pPr>
      <w:r>
        <w:t>SC-4-1 在上传文件前应对用户身份进行验证，并对上传文件进行验证和控制。</w:t>
      </w:r>
    </w:p>
    <w:p>
      <w:pPr>
        <w:pStyle w:val="3"/>
        <w:spacing w:before="64"/>
      </w:pPr>
      <w:r>
        <w:rPr>
          <w:color w:val="00AFEF"/>
        </w:rPr>
        <w:t>包括但不仅限于：</w:t>
      </w:r>
    </w:p>
    <w:p>
      <w:pPr>
        <w:pStyle w:val="10"/>
        <w:numPr>
          <w:ilvl w:val="0"/>
          <w:numId w:val="3"/>
        </w:numPr>
        <w:tabs>
          <w:tab w:val="left" w:pos="549"/>
          <w:tab w:val="left" w:pos="550"/>
        </w:tabs>
        <w:spacing w:before="62" w:after="0" w:line="280" w:lineRule="auto"/>
        <w:ind w:left="549" w:right="170" w:hanging="420"/>
        <w:jc w:val="left"/>
        <w:rPr>
          <w:sz w:val="21"/>
        </w:rPr>
      </w:pPr>
      <w:r>
        <w:rPr>
          <w:spacing w:val="-3"/>
          <w:sz w:val="21"/>
        </w:rPr>
        <w:t>应对上传文件的文件类型扩展名进行验证，还应通过检查文件报头信息的方式，验证上传文档是否是满足业务需要的文件类型，避免攻击者上传恶意文件。</w:t>
      </w:r>
    </w:p>
    <w:p>
      <w:pPr>
        <w:pStyle w:val="10"/>
        <w:numPr>
          <w:ilvl w:val="0"/>
          <w:numId w:val="3"/>
        </w:numPr>
        <w:tabs>
          <w:tab w:val="left" w:pos="549"/>
          <w:tab w:val="left" w:pos="550"/>
        </w:tabs>
        <w:spacing w:before="0" w:after="0" w:line="384" w:lineRule="exact"/>
        <w:ind w:left="549" w:right="0" w:hanging="421"/>
        <w:jc w:val="left"/>
        <w:rPr>
          <w:sz w:val="21"/>
        </w:rPr>
      </w:pPr>
      <w:r>
        <w:rPr>
          <w:spacing w:val="-3"/>
          <w:sz w:val="21"/>
        </w:rPr>
        <w:t>应对上传文件进行重命名</w:t>
      </w:r>
      <w:r>
        <w:rPr>
          <w:sz w:val="21"/>
        </w:rPr>
        <w:t>（</w:t>
      </w:r>
      <w:r>
        <w:rPr>
          <w:spacing w:val="-3"/>
          <w:sz w:val="21"/>
        </w:rPr>
        <w:t>比如：保存文件的命名格式为: 随机值.白名单[</w:t>
      </w:r>
      <w:r>
        <w:rPr>
          <w:sz w:val="21"/>
        </w:rPr>
        <w:t>index]）。</w:t>
      </w:r>
    </w:p>
    <w:p>
      <w:pPr>
        <w:pStyle w:val="10"/>
        <w:numPr>
          <w:ilvl w:val="0"/>
          <w:numId w:val="3"/>
        </w:numPr>
        <w:tabs>
          <w:tab w:val="left" w:pos="549"/>
          <w:tab w:val="left" w:pos="550"/>
        </w:tabs>
        <w:spacing w:before="62" w:after="0" w:line="240" w:lineRule="auto"/>
        <w:ind w:left="549" w:right="0" w:hanging="421"/>
        <w:jc w:val="left"/>
        <w:rPr>
          <w:sz w:val="21"/>
        </w:rPr>
      </w:pPr>
      <w:r>
        <w:rPr>
          <w:spacing w:val="-3"/>
          <w:sz w:val="21"/>
        </w:rPr>
        <w:t>文件上传后不应向用户返回文件保存的绝对路径，避免泄露服务器信息。</w:t>
      </w:r>
    </w:p>
    <w:p>
      <w:pPr>
        <w:pStyle w:val="10"/>
        <w:numPr>
          <w:ilvl w:val="0"/>
          <w:numId w:val="3"/>
        </w:numPr>
        <w:tabs>
          <w:tab w:val="left" w:pos="549"/>
          <w:tab w:val="left" w:pos="550"/>
        </w:tabs>
        <w:spacing w:before="64" w:after="0" w:line="240" w:lineRule="auto"/>
        <w:ind w:left="549" w:right="0" w:hanging="421"/>
        <w:jc w:val="left"/>
        <w:rPr>
          <w:sz w:val="21"/>
        </w:rPr>
      </w:pPr>
      <w:r>
        <w:rPr>
          <w:spacing w:val="-3"/>
          <w:sz w:val="21"/>
        </w:rPr>
        <w:t>取消上传目录下文件的执行权限。</w:t>
      </w:r>
    </w:p>
    <w:p>
      <w:pPr>
        <w:pStyle w:val="3"/>
        <w:spacing w:before="15"/>
        <w:ind w:left="0"/>
        <w:rPr>
          <w:sz w:val="27"/>
        </w:rPr>
      </w:pPr>
    </w:p>
    <w:p>
      <w:pPr>
        <w:pStyle w:val="3"/>
        <w:spacing w:before="1" w:line="280" w:lineRule="auto"/>
        <w:ind w:right="1944"/>
      </w:pPr>
      <w:r>
        <w:t>SC-4-2 在下载文件前应对用户身份进行验证，并对下载文件进行验证和控制。</w:t>
      </w:r>
      <w:r>
        <w:rPr>
          <w:color w:val="00AFEF"/>
        </w:rPr>
        <w:t>包括但不仅限于：</w:t>
      </w:r>
    </w:p>
    <w:p>
      <w:pPr>
        <w:pStyle w:val="10"/>
        <w:numPr>
          <w:ilvl w:val="0"/>
          <w:numId w:val="3"/>
        </w:numPr>
        <w:tabs>
          <w:tab w:val="left" w:pos="549"/>
          <w:tab w:val="left" w:pos="550"/>
        </w:tabs>
        <w:spacing w:before="0" w:after="0" w:line="382" w:lineRule="exact"/>
        <w:ind w:left="549" w:right="0" w:hanging="421"/>
        <w:jc w:val="left"/>
        <w:rPr>
          <w:sz w:val="21"/>
        </w:rPr>
      </w:pPr>
      <w:r>
        <w:rPr>
          <w:spacing w:val="-3"/>
          <w:sz w:val="21"/>
        </w:rPr>
        <w:t>验证文件的真实路径是否在允许下载范围内。</w:t>
      </w:r>
    </w:p>
    <w:p>
      <w:pPr>
        <w:pStyle w:val="10"/>
        <w:numPr>
          <w:ilvl w:val="0"/>
          <w:numId w:val="3"/>
        </w:numPr>
        <w:tabs>
          <w:tab w:val="left" w:pos="549"/>
          <w:tab w:val="left" w:pos="550"/>
        </w:tabs>
        <w:spacing w:before="64" w:after="0" w:line="280" w:lineRule="auto"/>
        <w:ind w:left="549" w:right="327" w:hanging="420"/>
        <w:jc w:val="left"/>
        <w:rPr>
          <w:sz w:val="21"/>
        </w:rPr>
      </w:pPr>
      <w:r>
        <w:rPr>
          <w:spacing w:val="-3"/>
          <w:sz w:val="21"/>
        </w:rPr>
        <w:t>验证下载文件名是否含有“..</w:t>
      </w:r>
      <w:r>
        <w:rPr>
          <w:sz w:val="21"/>
        </w:rPr>
        <w:t>/”（Linux</w:t>
      </w:r>
      <w:r>
        <w:rPr>
          <w:spacing w:val="-1"/>
          <w:sz w:val="21"/>
        </w:rPr>
        <w:t xml:space="preserve"> 服务器</w:t>
      </w:r>
      <w:r>
        <w:rPr>
          <w:spacing w:val="-3"/>
          <w:sz w:val="21"/>
        </w:rPr>
        <w:t>）</w:t>
      </w:r>
      <w:r>
        <w:rPr>
          <w:sz w:val="21"/>
        </w:rPr>
        <w:t>和“..\</w:t>
      </w:r>
      <w:r>
        <w:rPr>
          <w:spacing w:val="1"/>
          <w:sz w:val="21"/>
        </w:rPr>
        <w:t>” (</w:t>
      </w:r>
      <w:r>
        <w:rPr>
          <w:sz w:val="21"/>
        </w:rPr>
        <w:t>Windows</w:t>
      </w:r>
      <w:r>
        <w:rPr>
          <w:spacing w:val="-3"/>
          <w:sz w:val="21"/>
        </w:rPr>
        <w:t xml:space="preserve"> 服务器)，防止路径遍历导致的任意文件下载。</w:t>
      </w:r>
    </w:p>
    <w:p>
      <w:pPr>
        <w:pStyle w:val="3"/>
        <w:spacing w:before="3"/>
        <w:ind w:left="0"/>
        <w:rPr>
          <w:sz w:val="24"/>
        </w:rPr>
      </w:pPr>
    </w:p>
    <w:p>
      <w:pPr>
        <w:pStyle w:val="3"/>
        <w:spacing w:line="278" w:lineRule="auto"/>
        <w:ind w:right="260"/>
      </w:pPr>
      <w:r>
        <w:t>SC-4-3 应正确释放资源，及时释放系统资源，禁止再次释放已释放的资源，确保释放资源前完全清除敏感信息。</w:t>
      </w:r>
    </w:p>
    <w:p>
      <w:pPr>
        <w:pStyle w:val="3"/>
        <w:spacing w:before="11"/>
        <w:ind w:left="0"/>
        <w:rPr>
          <w:sz w:val="24"/>
        </w:rPr>
      </w:pPr>
    </w:p>
    <w:p>
      <w:pPr>
        <w:pStyle w:val="3"/>
      </w:pPr>
      <w:r>
        <w:t>SC-4-4 发生异常时，应及时回收并释放系统资源。</w:t>
      </w:r>
    </w:p>
    <w:p>
      <w:pPr>
        <w:pStyle w:val="2"/>
        <w:tabs>
          <w:tab w:val="left" w:pos="849"/>
        </w:tabs>
        <w:spacing w:before="89"/>
      </w:pPr>
      <w:bookmarkStart w:id="4" w:name="_bookmark4"/>
      <w:bookmarkEnd w:id="4"/>
      <w:r>
        <w:t>五.</w:t>
      </w:r>
      <w:r>
        <w:tab/>
      </w:r>
      <w:r>
        <w:t>会话管</w:t>
      </w:r>
      <w:r>
        <w:rPr>
          <w:spacing w:val="-3"/>
        </w:rPr>
        <w:t>理</w:t>
      </w:r>
      <w:r>
        <w:t>与通</w:t>
      </w:r>
      <w:r>
        <w:rPr>
          <w:spacing w:val="-3"/>
        </w:rPr>
        <w:t>信安</w:t>
      </w:r>
      <w:r>
        <w:t>全</w:t>
      </w:r>
    </w:p>
    <w:p>
      <w:pPr>
        <w:pStyle w:val="3"/>
        <w:spacing w:line="355" w:lineRule="exact"/>
      </w:pPr>
      <w:r>
        <w:t>SC-5-1 会话标识应当采用随机且唯一的不可预测的散列值，具备足够强度（比如：128 位），使</w:t>
      </w:r>
    </w:p>
    <w:p>
      <w:pPr>
        <w:pStyle w:val="3"/>
        <w:spacing w:before="65"/>
      </w:pPr>
      <w:r>
        <w:t>用服务器或者框架的会话管理控制，确保会话标识符的随机性，避免暴力散列攻击。</w:t>
      </w:r>
    </w:p>
    <w:p>
      <w:pPr>
        <w:spacing w:after="0"/>
        <w:sectPr>
          <w:pgSz w:w="12240" w:h="15840"/>
          <w:pgMar w:top="1200" w:right="1440" w:bottom="1100" w:left="1460" w:header="717" w:footer="917" w:gutter="0"/>
          <w:cols w:space="720" w:num="1"/>
        </w:sectPr>
      </w:pPr>
    </w:p>
    <w:p>
      <w:pPr>
        <w:pStyle w:val="3"/>
        <w:spacing w:before="141" w:line="280" w:lineRule="auto"/>
        <w:ind w:right="130"/>
      </w:pPr>
      <w:r>
        <w:t>SC-5-2 用户登录成功后，服务端应更新会话标识符，或者增加 IP 等其他判断标志，并周期性地使旧会话标识符失效。</w:t>
      </w:r>
    </w:p>
    <w:p>
      <w:pPr>
        <w:pStyle w:val="3"/>
        <w:spacing w:line="381" w:lineRule="exact"/>
      </w:pPr>
      <w:r>
        <w:rPr>
          <w:color w:val="00AFEF"/>
        </w:rPr>
        <w:t>说明：</w:t>
      </w:r>
      <w:r>
        <w:t>这可以缓解那些原标识符被获得的特定会话劫持情况。</w:t>
      </w:r>
    </w:p>
    <w:p>
      <w:pPr>
        <w:pStyle w:val="3"/>
        <w:spacing w:before="17"/>
        <w:ind w:left="0"/>
        <w:rPr>
          <w:sz w:val="27"/>
        </w:rPr>
      </w:pPr>
    </w:p>
    <w:p>
      <w:pPr>
        <w:pStyle w:val="3"/>
        <w:spacing w:line="278" w:lineRule="auto"/>
        <w:ind w:right="3756"/>
      </w:pPr>
      <w:r>
        <w:t>SC-5-2 不应在 URL、错误信息或日志中暴露会话标识符。</w:t>
      </w:r>
      <w:r>
        <w:rPr>
          <w:color w:val="00AFEF"/>
        </w:rPr>
        <w:t>说明：</w:t>
      </w:r>
    </w:p>
    <w:p>
      <w:pPr>
        <w:pStyle w:val="10"/>
        <w:numPr>
          <w:ilvl w:val="0"/>
          <w:numId w:val="4"/>
        </w:numPr>
        <w:tabs>
          <w:tab w:val="left" w:pos="549"/>
          <w:tab w:val="left" w:pos="550"/>
        </w:tabs>
        <w:spacing w:before="2" w:after="0" w:line="240" w:lineRule="auto"/>
        <w:ind w:left="549" w:right="0" w:hanging="421"/>
        <w:jc w:val="left"/>
        <w:rPr>
          <w:sz w:val="21"/>
        </w:rPr>
      </w:pPr>
      <w:r>
        <w:rPr>
          <w:spacing w:val="3"/>
          <w:sz w:val="21"/>
        </w:rPr>
        <w:t>敏感操作应当采用</w:t>
      </w:r>
      <w:r>
        <w:rPr>
          <w:sz w:val="21"/>
        </w:rPr>
        <w:t>POST</w:t>
      </w:r>
      <w:r>
        <w:rPr>
          <w:spacing w:val="-3"/>
          <w:sz w:val="21"/>
        </w:rPr>
        <w:t xml:space="preserve"> 请求。</w:t>
      </w:r>
    </w:p>
    <w:p>
      <w:pPr>
        <w:pStyle w:val="10"/>
        <w:numPr>
          <w:ilvl w:val="0"/>
          <w:numId w:val="4"/>
        </w:numPr>
        <w:tabs>
          <w:tab w:val="left" w:pos="549"/>
          <w:tab w:val="left" w:pos="550"/>
        </w:tabs>
        <w:spacing w:before="62" w:after="0" w:line="559" w:lineRule="auto"/>
        <w:ind w:left="129" w:right="1993" w:firstLine="0"/>
        <w:jc w:val="left"/>
        <w:rPr>
          <w:sz w:val="21"/>
        </w:rPr>
      </w:pPr>
      <w:r>
        <w:rPr>
          <w:spacing w:val="-4"/>
          <w:sz w:val="21"/>
        </w:rPr>
        <w:t xml:space="preserve">不要将会话标识符以 </w:t>
      </w:r>
      <w:r>
        <w:rPr>
          <w:sz w:val="21"/>
        </w:rPr>
        <w:t>GET</w:t>
      </w:r>
      <w:r>
        <w:rPr>
          <w:spacing w:val="-3"/>
          <w:sz w:val="21"/>
        </w:rPr>
        <w:t xml:space="preserve"> 参数进行传递，会记录在服务器访问日志中。SC-5-3 应设置会话令牌有效期，建议公网系统会话有效时间不超过 </w:t>
      </w:r>
      <w:r>
        <w:rPr>
          <w:sz w:val="21"/>
        </w:rPr>
        <w:t>30 分钟。SC-5-4</w:t>
      </w:r>
      <w:r>
        <w:rPr>
          <w:spacing w:val="-3"/>
          <w:sz w:val="21"/>
        </w:rPr>
        <w:t xml:space="preserve"> 用户注销时应当立即清理当前用户会话。</w:t>
      </w:r>
    </w:p>
    <w:p>
      <w:pPr>
        <w:pStyle w:val="3"/>
        <w:spacing w:line="280" w:lineRule="auto"/>
        <w:ind w:right="259"/>
      </w:pPr>
      <w:r>
        <w:t>SC-5-5 在通信过程中，对敏感信息（如：密码等）应进行加密并使用加密通道传输。使用安全的协议，禁止使用SSL v2 和 v3，建议使用 TLS v1.2。</w:t>
      </w:r>
    </w:p>
    <w:p>
      <w:pPr>
        <w:pStyle w:val="3"/>
        <w:spacing w:line="382" w:lineRule="exact"/>
      </w:pPr>
      <w:r>
        <w:rPr>
          <w:color w:val="00AFEF"/>
        </w:rPr>
        <w:t>建议：</w:t>
      </w:r>
      <w:r>
        <w:t>为所有要求身份验证的访问内容和所有其他的敏感信息提供 TLS 连接。</w:t>
      </w:r>
    </w:p>
    <w:p>
      <w:pPr>
        <w:pStyle w:val="2"/>
        <w:tabs>
          <w:tab w:val="left" w:pos="849"/>
        </w:tabs>
        <w:spacing w:before="89"/>
      </w:pPr>
      <w:bookmarkStart w:id="5" w:name="_bookmark5"/>
      <w:bookmarkEnd w:id="5"/>
      <w:r>
        <w:t>六.</w:t>
      </w:r>
      <w:r>
        <w:tab/>
      </w:r>
      <w:r>
        <w:t>异常处</w:t>
      </w:r>
      <w:r>
        <w:rPr>
          <w:spacing w:val="-3"/>
        </w:rPr>
        <w:t>理</w:t>
      </w:r>
      <w:r>
        <w:t>与日志</w:t>
      </w:r>
      <w:r>
        <w:rPr>
          <w:spacing w:val="-3"/>
        </w:rPr>
        <w:t>审计</w:t>
      </w:r>
    </w:p>
    <w:p>
      <w:pPr>
        <w:pStyle w:val="3"/>
        <w:spacing w:line="355" w:lineRule="exact"/>
      </w:pPr>
      <w:r>
        <w:t>SC-6-1 精确捕获异常，并对捕获的异常进行恰当的处理，避免在捕获异常后不做任何处理。</w:t>
      </w:r>
    </w:p>
    <w:p>
      <w:pPr>
        <w:pStyle w:val="3"/>
        <w:spacing w:before="15"/>
        <w:ind w:left="0"/>
        <w:rPr>
          <w:sz w:val="27"/>
        </w:rPr>
      </w:pPr>
    </w:p>
    <w:p>
      <w:pPr>
        <w:pStyle w:val="3"/>
      </w:pPr>
      <w:r>
        <w:t>SC-6-2 当异常发生时，不要将系统产生的异常信息直接反馈给用户。</w:t>
      </w:r>
    </w:p>
    <w:p>
      <w:pPr>
        <w:pStyle w:val="3"/>
        <w:spacing w:before="64"/>
      </w:pPr>
      <w:r>
        <w:rPr>
          <w:color w:val="00AFEF"/>
        </w:rPr>
        <w:t>包括但不限于：</w:t>
      </w:r>
      <w:r>
        <w:t>系统的详细信息、会话标识、帐号信息、调试或堆栈跟踪信息、源代码片段等。</w:t>
      </w:r>
    </w:p>
    <w:p>
      <w:pPr>
        <w:pStyle w:val="3"/>
        <w:spacing w:before="15"/>
        <w:ind w:left="0"/>
        <w:rPr>
          <w:sz w:val="27"/>
        </w:rPr>
      </w:pPr>
    </w:p>
    <w:p>
      <w:pPr>
        <w:pStyle w:val="3"/>
        <w:spacing w:line="280" w:lineRule="auto"/>
        <w:ind w:right="259"/>
      </w:pPr>
      <w:r>
        <w:t>SC-6-3 应创建默认的错误页面，使用通用的错误消息提示，防止攻击者从出错页面中得到一些敏感的系统信息。</w:t>
      </w:r>
    </w:p>
    <w:p>
      <w:pPr>
        <w:pStyle w:val="3"/>
        <w:spacing w:before="4"/>
        <w:ind w:left="0"/>
        <w:rPr>
          <w:sz w:val="24"/>
        </w:rPr>
      </w:pPr>
    </w:p>
    <w:p>
      <w:pPr>
        <w:pStyle w:val="3"/>
        <w:spacing w:line="278" w:lineRule="auto"/>
        <w:ind w:right="471"/>
      </w:pPr>
      <w:r>
        <w:t>SC-6-4 不要在日志中保存敏感信息（比如：密码和个人隐私数据）。对日志记录的内容进行审核，防止将关键级敏感信息写入日志。</w:t>
      </w:r>
    </w:p>
    <w:p>
      <w:pPr>
        <w:pStyle w:val="3"/>
        <w:spacing w:before="2" w:line="280" w:lineRule="auto"/>
        <w:ind w:right="171"/>
      </w:pPr>
      <w:r>
        <w:rPr>
          <w:color w:val="00AFEF"/>
        </w:rPr>
        <w:t>说明：</w:t>
      </w:r>
      <w:r>
        <w:t>日志记录中不得以任何形式保存密码、密钥等高敏感性数据，其他敏感级信息仅应在脱敏或加密的前提下保存。</w:t>
      </w:r>
    </w:p>
    <w:p>
      <w:pPr>
        <w:spacing w:after="0" w:line="280" w:lineRule="auto"/>
        <w:sectPr>
          <w:pgSz w:w="12240" w:h="15840"/>
          <w:pgMar w:top="1200" w:right="1440" w:bottom="1100" w:left="1460" w:header="717" w:footer="917" w:gutter="0"/>
          <w:cols w:space="720" w:num="1"/>
        </w:sectPr>
      </w:pPr>
    </w:p>
    <w:p>
      <w:pPr>
        <w:pStyle w:val="3"/>
        <w:spacing w:before="11"/>
        <w:ind w:left="0"/>
        <w:rPr>
          <w:sz w:val="29"/>
        </w:rPr>
      </w:pPr>
    </w:p>
    <w:p>
      <w:pPr>
        <w:pStyle w:val="3"/>
        <w:spacing w:before="46"/>
      </w:pPr>
      <w:r>
        <w:t>SC-6-5 使用信息摘要算法以验证日志记录的完整性。</w:t>
      </w:r>
    </w:p>
    <w:p>
      <w:pPr>
        <w:pStyle w:val="3"/>
        <w:spacing w:before="15"/>
        <w:ind w:left="0"/>
        <w:rPr>
          <w:sz w:val="27"/>
        </w:rPr>
      </w:pPr>
    </w:p>
    <w:p>
      <w:pPr>
        <w:pStyle w:val="3"/>
        <w:spacing w:line="280" w:lineRule="auto"/>
        <w:ind w:right="260"/>
      </w:pPr>
      <w:r>
        <w:t>SC-6-6 对日志中的特殊元素进行过滤和验证。确保日志记录中的不可信数据，不会在查看界面或者运行软件时以代码的形式被执行。</w:t>
      </w:r>
    </w:p>
    <w:p>
      <w:pPr>
        <w:pStyle w:val="3"/>
        <w:spacing w:line="381" w:lineRule="exact"/>
      </w:pPr>
      <w:r>
        <w:rPr>
          <w:color w:val="00AFEF"/>
        </w:rPr>
        <w:t>说明：</w:t>
      </w:r>
    </w:p>
    <w:p>
      <w:pPr>
        <w:pStyle w:val="10"/>
        <w:numPr>
          <w:ilvl w:val="0"/>
          <w:numId w:val="5"/>
        </w:numPr>
        <w:tabs>
          <w:tab w:val="left" w:pos="549"/>
          <w:tab w:val="left" w:pos="550"/>
        </w:tabs>
        <w:spacing w:before="65" w:after="0" w:line="240" w:lineRule="auto"/>
        <w:ind w:left="549" w:right="0" w:hanging="421"/>
        <w:jc w:val="left"/>
        <w:rPr>
          <w:sz w:val="21"/>
        </w:rPr>
      </w:pPr>
      <w:r>
        <w:rPr>
          <w:sz w:val="21"/>
        </w:rPr>
        <w:t>\r、\n</w:t>
      </w:r>
      <w:r>
        <w:rPr>
          <w:spacing w:val="-5"/>
          <w:sz w:val="21"/>
        </w:rPr>
        <w:t xml:space="preserve"> 等换行符的录入，可能会造成日志内容换行，从而篡改日志内容。</w:t>
      </w:r>
    </w:p>
    <w:p>
      <w:pPr>
        <w:pStyle w:val="10"/>
        <w:numPr>
          <w:ilvl w:val="0"/>
          <w:numId w:val="5"/>
        </w:numPr>
        <w:tabs>
          <w:tab w:val="left" w:pos="549"/>
          <w:tab w:val="left" w:pos="550"/>
        </w:tabs>
        <w:spacing w:before="61" w:after="0" w:line="280" w:lineRule="auto"/>
        <w:ind w:left="549" w:right="317" w:hanging="420"/>
        <w:jc w:val="left"/>
        <w:rPr>
          <w:sz w:val="21"/>
        </w:rPr>
      </w:pPr>
      <w:r>
        <w:rPr>
          <w:spacing w:val="-3"/>
          <w:sz w:val="21"/>
        </w:rPr>
        <w:t xml:space="preserve">如果日志中存在恶意代码，在页面读取展示时，可能会造成恶意代码执行，如 </w:t>
      </w:r>
      <w:r>
        <w:rPr>
          <w:sz w:val="21"/>
        </w:rPr>
        <w:t>XSS 攻击、一</w:t>
      </w:r>
      <w:r>
        <w:rPr>
          <w:spacing w:val="-2"/>
          <w:sz w:val="21"/>
        </w:rPr>
        <w:t>句话木马等。</w:t>
      </w:r>
    </w:p>
    <w:p>
      <w:pPr>
        <w:pStyle w:val="2"/>
        <w:tabs>
          <w:tab w:val="left" w:pos="849"/>
        </w:tabs>
      </w:pPr>
      <w:bookmarkStart w:id="6" w:name="_bookmark6"/>
      <w:bookmarkEnd w:id="6"/>
      <w:r>
        <w:t>七.</w:t>
      </w:r>
      <w:r>
        <w:tab/>
      </w:r>
      <w:r>
        <w:t>敏感数</w:t>
      </w:r>
      <w:r>
        <w:rPr>
          <w:spacing w:val="-3"/>
        </w:rPr>
        <w:t>据</w:t>
      </w:r>
      <w:r>
        <w:t>加密与</w:t>
      </w:r>
      <w:r>
        <w:rPr>
          <w:spacing w:val="-3"/>
        </w:rPr>
        <w:t>保护</w:t>
      </w:r>
    </w:p>
    <w:p>
      <w:pPr>
        <w:pStyle w:val="3"/>
        <w:spacing w:line="355" w:lineRule="exact"/>
      </w:pPr>
      <w:r>
        <w:t>SC-7-1 保护重要秘密信息免受未授权访问。</w:t>
      </w:r>
    </w:p>
    <w:p>
      <w:pPr>
        <w:pStyle w:val="3"/>
        <w:spacing w:before="62"/>
      </w:pPr>
      <w:r>
        <w:rPr>
          <w:color w:val="00AFEF"/>
        </w:rPr>
        <w:t>包括但不仅限于：</w:t>
      </w:r>
    </w:p>
    <w:p>
      <w:pPr>
        <w:pStyle w:val="10"/>
        <w:numPr>
          <w:ilvl w:val="0"/>
          <w:numId w:val="6"/>
        </w:numPr>
        <w:tabs>
          <w:tab w:val="left" w:pos="549"/>
          <w:tab w:val="left" w:pos="550"/>
        </w:tabs>
        <w:spacing w:before="64" w:after="0" w:line="240" w:lineRule="auto"/>
        <w:ind w:left="549" w:right="0" w:hanging="421"/>
        <w:jc w:val="left"/>
        <w:rPr>
          <w:sz w:val="21"/>
        </w:rPr>
      </w:pPr>
      <w:r>
        <w:rPr>
          <w:spacing w:val="-3"/>
          <w:sz w:val="21"/>
        </w:rPr>
        <w:t>明确应用系统中的敏感数据、隐私数据的范围，以及有权访问这些数据的用户范围。</w:t>
      </w:r>
    </w:p>
    <w:p>
      <w:pPr>
        <w:pStyle w:val="10"/>
        <w:numPr>
          <w:ilvl w:val="0"/>
          <w:numId w:val="6"/>
        </w:numPr>
        <w:tabs>
          <w:tab w:val="left" w:pos="549"/>
          <w:tab w:val="left" w:pos="550"/>
        </w:tabs>
        <w:spacing w:before="62" w:after="0" w:line="240" w:lineRule="auto"/>
        <w:ind w:left="549" w:right="0" w:hanging="421"/>
        <w:jc w:val="left"/>
        <w:rPr>
          <w:sz w:val="21"/>
        </w:rPr>
      </w:pPr>
      <w:r>
        <w:rPr>
          <w:spacing w:val="-3"/>
          <w:sz w:val="21"/>
        </w:rPr>
        <w:t>对数据的授权访问遵循最小权限原则。</w:t>
      </w:r>
    </w:p>
    <w:p>
      <w:pPr>
        <w:pStyle w:val="3"/>
        <w:spacing w:before="17"/>
        <w:ind w:left="0"/>
        <w:rPr>
          <w:sz w:val="27"/>
        </w:rPr>
      </w:pPr>
    </w:p>
    <w:p>
      <w:pPr>
        <w:pStyle w:val="3"/>
        <w:spacing w:before="1" w:line="278" w:lineRule="auto"/>
        <w:ind w:right="261"/>
      </w:pPr>
      <w:r>
        <w:t>SC-7-2 用户敏感信息（比如：姓名、密码、手机号、银行卡号、身份证号等），在页面显示和传输过程中应注意脱敏和加密，数据库中也应当进行加密存储，避免数据库端信息泄露。</w:t>
      </w:r>
    </w:p>
    <w:p>
      <w:pPr>
        <w:pStyle w:val="3"/>
        <w:spacing w:before="10"/>
        <w:ind w:left="0"/>
        <w:rPr>
          <w:sz w:val="24"/>
        </w:rPr>
      </w:pPr>
    </w:p>
    <w:p>
      <w:pPr>
        <w:pStyle w:val="3"/>
        <w:spacing w:line="278" w:lineRule="auto"/>
        <w:ind w:right="141"/>
      </w:pPr>
      <w:r>
        <w:t>SC-7-3 用于访问系统资源的系统用户、密码、密钥必须加密保存在配置文件中，同时要求配置参数要统一集中管理，避免同一个参数在多个配置文件中保存。</w:t>
      </w:r>
    </w:p>
    <w:p>
      <w:pPr>
        <w:pStyle w:val="3"/>
        <w:spacing w:before="9"/>
        <w:ind w:left="0"/>
        <w:rPr>
          <w:sz w:val="24"/>
        </w:rPr>
      </w:pPr>
    </w:p>
    <w:p>
      <w:pPr>
        <w:pStyle w:val="3"/>
      </w:pPr>
      <w:r>
        <w:t>SC-7-4 代码中不应当出现硬编码的敏感信息，如用户名、密码、IP 地址、公司邮箱等。</w:t>
      </w:r>
    </w:p>
    <w:p>
      <w:pPr>
        <w:pStyle w:val="3"/>
        <w:spacing w:before="18"/>
        <w:ind w:left="0"/>
        <w:rPr>
          <w:sz w:val="27"/>
        </w:rPr>
      </w:pPr>
    </w:p>
    <w:p>
      <w:pPr>
        <w:pStyle w:val="3"/>
        <w:spacing w:line="278" w:lineRule="auto"/>
        <w:ind w:right="336"/>
      </w:pPr>
      <w:r>
        <w:t>SC-7-5 数据库中存储的用户密码等鉴别信息，应使用不可逆的加密算法（比如：国密 SM3、SHA-512），并进行加盐（Salted）处理，然后将盐和密码哈希值一起保存在数据库中，或通过加密机完成加密。</w:t>
      </w:r>
    </w:p>
    <w:p>
      <w:pPr>
        <w:pStyle w:val="3"/>
        <w:spacing w:before="2"/>
      </w:pPr>
      <w:r>
        <w:rPr>
          <w:color w:val="00AFEF"/>
        </w:rPr>
        <w:t>说明：</w:t>
      </w:r>
    </w:p>
    <w:p>
      <w:pPr>
        <w:pStyle w:val="3"/>
        <w:spacing w:before="64"/>
      </w:pPr>
      <w:r>
        <w:t>推荐如下加密算法选择：</w:t>
      </w:r>
    </w:p>
    <w:p>
      <w:pPr>
        <w:pStyle w:val="10"/>
        <w:numPr>
          <w:ilvl w:val="0"/>
          <w:numId w:val="7"/>
        </w:numPr>
        <w:tabs>
          <w:tab w:val="left" w:pos="549"/>
          <w:tab w:val="left" w:pos="550"/>
        </w:tabs>
        <w:spacing w:before="64" w:after="0" w:line="240" w:lineRule="auto"/>
        <w:ind w:left="549" w:right="0" w:hanging="421"/>
        <w:jc w:val="left"/>
        <w:rPr>
          <w:sz w:val="21"/>
        </w:rPr>
      </w:pPr>
      <w:r>
        <w:rPr>
          <w:spacing w:val="-3"/>
          <w:sz w:val="21"/>
        </w:rPr>
        <w:t>非对称加密算法：</w:t>
      </w:r>
      <w:r>
        <w:rPr>
          <w:sz w:val="21"/>
        </w:rPr>
        <w:t>SM2</w:t>
      </w:r>
      <w:r>
        <w:rPr>
          <w:spacing w:val="-3"/>
          <w:sz w:val="21"/>
        </w:rPr>
        <w:t>、</w:t>
      </w:r>
      <w:r>
        <w:rPr>
          <w:sz w:val="21"/>
        </w:rPr>
        <w:t>RSA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top="1200" w:right="1440" w:bottom="1100" w:left="1460" w:header="717" w:footer="917" w:gutter="0"/>
          <w:cols w:space="720" w:num="1"/>
        </w:sectPr>
      </w:pPr>
    </w:p>
    <w:p>
      <w:pPr>
        <w:pStyle w:val="10"/>
        <w:numPr>
          <w:ilvl w:val="0"/>
          <w:numId w:val="7"/>
        </w:numPr>
        <w:tabs>
          <w:tab w:val="left" w:pos="549"/>
          <w:tab w:val="left" w:pos="550"/>
        </w:tabs>
        <w:spacing w:before="141" w:after="0" w:line="240" w:lineRule="auto"/>
        <w:ind w:left="549" w:right="0" w:hanging="421"/>
        <w:jc w:val="left"/>
        <w:rPr>
          <w:sz w:val="21"/>
        </w:rPr>
      </w:pPr>
      <w:r>
        <w:rPr>
          <w:spacing w:val="-2"/>
          <w:sz w:val="21"/>
        </w:rPr>
        <w:t>对称加密算法：</w:t>
      </w:r>
      <w:r>
        <w:rPr>
          <w:sz w:val="21"/>
        </w:rPr>
        <w:t>SM4、3DES、AES</w:t>
      </w:r>
    </w:p>
    <w:p>
      <w:pPr>
        <w:pStyle w:val="10"/>
        <w:numPr>
          <w:ilvl w:val="0"/>
          <w:numId w:val="7"/>
        </w:numPr>
        <w:tabs>
          <w:tab w:val="left" w:pos="549"/>
          <w:tab w:val="left" w:pos="550"/>
        </w:tabs>
        <w:spacing w:before="64" w:after="0" w:line="240" w:lineRule="auto"/>
        <w:ind w:left="549" w:right="0" w:hanging="421"/>
        <w:jc w:val="left"/>
        <w:rPr>
          <w:sz w:val="21"/>
        </w:rPr>
      </w:pPr>
      <w:r>
        <w:rPr>
          <w:spacing w:val="-1"/>
          <w:sz w:val="21"/>
        </w:rPr>
        <w:t>散列算法：</w:t>
      </w:r>
      <w:r>
        <w:rPr>
          <w:sz w:val="21"/>
        </w:rPr>
        <w:t>SM3、SHA256</w:t>
      </w:r>
    </w:p>
    <w:p>
      <w:pPr>
        <w:pStyle w:val="3"/>
        <w:spacing w:before="15"/>
        <w:ind w:left="0"/>
        <w:rPr>
          <w:sz w:val="27"/>
        </w:rPr>
      </w:pPr>
    </w:p>
    <w:p>
      <w:pPr>
        <w:pStyle w:val="3"/>
      </w:pPr>
      <w:r>
        <w:t>SC-7-6 使用安全的随机数生成器，避免将具有密码学弱点的伪随机数生成器用于加密场景。</w:t>
      </w:r>
    </w:p>
    <w:p>
      <w:pPr>
        <w:pStyle w:val="2"/>
        <w:tabs>
          <w:tab w:val="left" w:pos="849"/>
        </w:tabs>
        <w:spacing w:before="92"/>
      </w:pPr>
      <w:bookmarkStart w:id="7" w:name="_bookmark7"/>
      <w:bookmarkEnd w:id="7"/>
      <w:r>
        <w:t>八.</w:t>
      </w:r>
      <w:r>
        <w:tab/>
      </w:r>
      <w:r>
        <w:t>业务安全</w:t>
      </w:r>
    </w:p>
    <w:p>
      <w:pPr>
        <w:pStyle w:val="3"/>
        <w:spacing w:line="355" w:lineRule="exact"/>
      </w:pPr>
      <w:r>
        <w:t>SC-8-1 在使用平台资源，譬如短信、邮件、电话、下单、支付，必须实现正确的防重放的机制，</w:t>
      </w:r>
    </w:p>
    <w:p>
      <w:pPr>
        <w:pStyle w:val="3"/>
        <w:spacing w:before="61"/>
      </w:pPr>
      <w:r>
        <w:t>如数量限制、接口请求频率限制、验证码人机校验，避免被滥刷而导致资损。</w:t>
      </w:r>
    </w:p>
    <w:p>
      <w:pPr>
        <w:pStyle w:val="3"/>
        <w:spacing w:before="64" w:line="278" w:lineRule="auto"/>
        <w:ind w:right="171"/>
      </w:pPr>
      <w:r>
        <w:rPr>
          <w:color w:val="00AFEF"/>
        </w:rPr>
        <w:t>说明：</w:t>
      </w:r>
      <w:r>
        <w:t>如注册时发送验证码到手机，如果没有限制次数和频率，那么可以利用此功能骚扰到其它用户，并造成短信平台资源浪费。</w:t>
      </w:r>
    </w:p>
    <w:p>
      <w:pPr>
        <w:pStyle w:val="3"/>
        <w:spacing w:before="12"/>
        <w:ind w:left="0"/>
        <w:rPr>
          <w:sz w:val="24"/>
        </w:rPr>
      </w:pPr>
    </w:p>
    <w:p>
      <w:pPr>
        <w:pStyle w:val="3"/>
        <w:spacing w:line="278" w:lineRule="auto"/>
        <w:ind w:right="192"/>
      </w:pPr>
      <w:r>
        <w:t>SC-8-2 在调用接口时，应该采取 API 签名机制，防止数据在传输过程中被篡改。如支付订单等重要且敏感的数据，应当采取数字签名等方式，保证数据完整性。</w:t>
      </w:r>
    </w:p>
    <w:p>
      <w:pPr>
        <w:pStyle w:val="3"/>
        <w:spacing w:line="278" w:lineRule="auto"/>
        <w:ind w:right="192"/>
      </w:pPr>
    </w:p>
    <w:sectPr>
      <w:pgSz w:w="12240" w:h="15840"/>
      <w:pgMar w:top="1200" w:right="1440" w:bottom="1100" w:left="1460" w:header="717" w:footer="91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shape id="_x0000_s2050" o:spid="_x0000_s2050" o:spt="202" type="#_x0000_t202" style="position:absolute;left:0pt;margin-left:269.4pt;margin-top:735.15pt;height:15.95pt;width:73.4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319" w:lineRule="exact"/>
                  <w:ind w:left="20"/>
                </w:pPr>
                <w:r>
                  <w:t>第 1 页/共 1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shape id="_x0000_s2053" o:spid="_x0000_s2053" o:spt="202" type="#_x0000_t202" style="position:absolute;left:0pt;margin-left:269.4pt;margin-top:735.15pt;height:15.95pt;width:73.4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319" w:lineRule="exact"/>
                  <w:ind w:left="20"/>
                </w:pPr>
                <w:r>
                  <w:t>第 1 页/共 6 页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shape id="_x0000_s2054" o:spid="_x0000_s2054" o:spt="202" type="#_x0000_t202" style="position:absolute;left:0pt;margin-left:269.4pt;margin-top:735.15pt;height:15.95pt;width:73.4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319" w:lineRule="exact"/>
                  <w:ind w:left="20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页/共 6 页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⚫"/>
      <w:lvlJc w:val="left"/>
      <w:pPr>
        <w:ind w:left="549" w:hanging="420"/>
      </w:pPr>
      <w:rPr>
        <w:rFonts w:hint="default" w:ascii="Wingdings" w:hAnsi="Wingdings" w:eastAsia="Wingdings" w:cs="Wingdings"/>
        <w:w w:val="15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2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00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80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0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0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20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00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80" w:hanging="42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⚫"/>
      <w:lvlJc w:val="left"/>
      <w:pPr>
        <w:ind w:left="129" w:hanging="420"/>
      </w:pPr>
      <w:rPr>
        <w:rFonts w:hint="default" w:ascii="Wingdings" w:hAnsi="Wingdings" w:eastAsia="Wingdings" w:cs="Wingdings"/>
        <w:w w:val="15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42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64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86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08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30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52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7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96" w:hanging="42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⚫"/>
      <w:lvlJc w:val="left"/>
      <w:pPr>
        <w:ind w:left="549" w:hanging="420"/>
      </w:pPr>
      <w:rPr>
        <w:rFonts w:hint="default" w:ascii="Wingdings" w:hAnsi="Wingdings" w:eastAsia="Wingdings" w:cs="Wingdings"/>
        <w:w w:val="15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2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00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80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0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0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20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00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80" w:hanging="42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⚫"/>
      <w:lvlJc w:val="left"/>
      <w:pPr>
        <w:ind w:left="549" w:hanging="420"/>
      </w:pPr>
      <w:rPr>
        <w:rFonts w:hint="default" w:ascii="Wingdings" w:hAnsi="Wingdings" w:eastAsia="Wingdings" w:cs="Wingdings"/>
        <w:w w:val="15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2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00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80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0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0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20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00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80" w:hanging="420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⚫"/>
      <w:lvlJc w:val="left"/>
      <w:pPr>
        <w:ind w:left="549" w:hanging="420"/>
      </w:pPr>
      <w:rPr>
        <w:rFonts w:hint="default" w:ascii="Wingdings" w:hAnsi="Wingdings" w:eastAsia="Wingdings" w:cs="Wingdings"/>
        <w:w w:val="15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2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00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80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0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0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20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00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80" w:hanging="42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⚫"/>
      <w:lvlJc w:val="left"/>
      <w:pPr>
        <w:ind w:left="549" w:hanging="420"/>
      </w:pPr>
      <w:rPr>
        <w:rFonts w:hint="default" w:ascii="Wingdings" w:hAnsi="Wingdings" w:eastAsia="Wingdings" w:cs="Wingdings"/>
        <w:w w:val="15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2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00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80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0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0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20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00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80" w:hanging="42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0"/>
      <w:numFmt w:val="bullet"/>
      <w:lvlText w:val="⚫"/>
      <w:lvlJc w:val="left"/>
      <w:pPr>
        <w:ind w:left="549" w:hanging="420"/>
      </w:pPr>
      <w:rPr>
        <w:rFonts w:hint="default" w:ascii="Wingdings" w:hAnsi="Wingdings" w:eastAsia="Wingdings" w:cs="Wingdings"/>
        <w:w w:val="15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2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00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80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0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0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20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00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80" w:hanging="42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MDY4ZmUzYzcxZjc0NDJjODhmMjg2ZmMxNDZkMzViZGYifQ=="/>
  </w:docVars>
  <w:rsids>
    <w:rsidRoot w:val="00000000"/>
    <w:rsid w:val="50565965"/>
    <w:rsid w:val="53AA52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25" w:line="484" w:lineRule="exact"/>
      <w:ind w:left="129"/>
      <w:outlineLvl w:val="1"/>
    </w:pPr>
    <w:rPr>
      <w:rFonts w:ascii="微软雅黑" w:hAnsi="微软雅黑" w:eastAsia="微软雅黑" w:cs="微软雅黑"/>
      <w:b/>
      <w:bCs/>
      <w:sz w:val="28"/>
      <w:szCs w:val="28"/>
      <w:lang w:val="zh-CN" w:eastAsia="zh-CN" w:bidi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9"/>
    </w:pPr>
    <w:rPr>
      <w:rFonts w:ascii="微软雅黑" w:hAnsi="微软雅黑" w:eastAsia="微软雅黑" w:cs="微软雅黑"/>
      <w:sz w:val="21"/>
      <w:szCs w:val="21"/>
      <w:lang w:val="zh-CN" w:eastAsia="zh-CN" w:bidi="zh-CN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1"/>
    <w:pPr>
      <w:spacing w:before="181"/>
      <w:ind w:left="129"/>
    </w:pPr>
    <w:rPr>
      <w:rFonts w:ascii="微软雅黑" w:hAnsi="微软雅黑" w:eastAsia="微软雅黑" w:cs="微软雅黑"/>
      <w:b/>
      <w:bCs/>
      <w:sz w:val="20"/>
      <w:szCs w:val="20"/>
      <w:lang w:val="zh-CN" w:eastAsia="zh-CN" w:bidi="zh-CN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549" w:hanging="421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1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50"/>
    <customShpInfo spid="_x0000_s2053"/>
    <customShpInfo spid="_x0000_s2054"/>
    <customShpInfo spid="_x0000_s1034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3247</Words>
  <Characters>3568</Characters>
  <TotalTime>6</TotalTime>
  <ScaleCrop>false</ScaleCrop>
  <LinksUpToDate>false</LinksUpToDate>
  <CharactersWithSpaces>3711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2021-10-28T11:53:00Z</dcterms:created>
  <dc:creator>贝壳</dc:creator>
  <cp:lastModifiedBy>bingjie</cp:lastModifiedBy>
  <dcterms:modified xsi:type="dcterms:W3CDTF">2022-05-05T07:40:19Z</dcterms:modified>
  <dc:subject>—— 好未来安全团队</dc:subject>
  <dc:title>好未来安全编码规范（通用版）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2021-10-28T00:00:00Z</vt:filetime>
  </property>
  <property fmtid="{D5CDD505-2E9C-101B-9397-08002B2CF9AE}" pid="5" name="KSOProductBuildVer">
    <vt:lpwstr>2052-11.1.0.11636</vt:lpwstr>
  </property>
  <property fmtid="{D5CDD505-2E9C-101B-9397-08002B2CF9AE}" pid="6" name="ICV">
    <vt:lpwstr>9AE59B3D9D964269A4A4D1D1F393EB34</vt:lpwstr>
  </property>
</Properties>
</file>