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default"/>
          <w:lang w:val="en-US" w:eastAsia="zh-CN"/>
        </w:rPr>
      </w:pPr>
      <w:r>
        <w:rPr>
          <w:rFonts w:hint="eastAsia"/>
          <w:lang w:val="en-US" w:eastAsia="zh-CN"/>
        </w:rPr>
        <w:t>建设方案也要随时根据战略业务调整而改变，不能死板执行，要适应公司及外部安全态势。</w:t>
      </w:r>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免费单机软件/APP，有的也需要应用安全。比如PDF阅读器，打开恶意文件会导致命令执行。</w:t>
      </w:r>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eastAsia"/>
          <w:lang w:val="en-US" w:eastAsia="zh-CN"/>
        </w:rPr>
      </w:pPr>
      <w:r>
        <w:rPr>
          <w:rFonts w:hint="eastAsia"/>
          <w:lang w:val="en-US" w:eastAsia="zh-CN"/>
        </w:rPr>
        <w:t>应用安全的落地步骤</w:t>
      </w:r>
    </w:p>
    <w:p>
      <w:pPr>
        <w:rPr>
          <w:rFonts w:hint="eastAsia"/>
          <w:lang w:val="en-US" w:eastAsia="zh-CN"/>
        </w:rPr>
      </w:pPr>
      <w:r>
        <w:rPr>
          <w:rFonts w:hint="eastAsia"/>
          <w:lang w:val="en-US" w:eastAsia="zh-CN"/>
        </w:rPr>
        <w:t>应用梳理：发现所有应用，已经有的，跟正在做的。</w:t>
      </w:r>
    </w:p>
    <w:p>
      <w:pPr>
        <w:rPr>
          <w:rFonts w:hint="eastAsia"/>
          <w:lang w:val="en-US" w:eastAsia="zh-CN"/>
        </w:rPr>
      </w:pPr>
      <w:r>
        <w:rPr>
          <w:rFonts w:hint="eastAsia"/>
          <w:lang w:val="en-US" w:eastAsia="zh-CN"/>
        </w:rPr>
        <w:t>状态调研：调研安全建设状态，评估完成度，高优先级的东西是否覆盖了。</w:t>
      </w:r>
    </w:p>
    <w:p>
      <w:pPr>
        <w:rPr>
          <w:rFonts w:hint="default"/>
          <w:lang w:val="en-US" w:eastAsia="zh-CN"/>
        </w:rPr>
      </w:pPr>
      <w:r>
        <w:rPr>
          <w:rFonts w:hint="eastAsia"/>
          <w:lang w:val="en-US" w:eastAsia="zh-CN"/>
        </w:rPr>
        <w:t>决策工作内容：做不做，做什么，怎么做</w:t>
      </w:r>
      <w:bookmarkStart w:id="0" w:name="_GoBack"/>
      <w:bookmarkEnd w:id="0"/>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p>
    <w:p>
      <w:pPr>
        <w:rPr>
          <w:rFonts w:hint="default"/>
          <w:lang w:val="en-US" w:eastAsia="zh-CN"/>
        </w:rPr>
      </w:pPr>
      <w:r>
        <w:rPr>
          <w:rFonts w:hint="eastAsia"/>
          <w:lang w:val="en-US" w:eastAsia="zh-CN"/>
        </w:rPr>
        <w:t>办公安全聚焦于日常办公的工作流及公司员工。对日常办公的相关事务进行保护。</w:t>
      </w:r>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eastAsia"/>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default"/>
          <w:lang w:val="en-US" w:eastAsia="zh-CN"/>
        </w:rPr>
      </w:pPr>
      <w:r>
        <w:rPr>
          <w:rFonts w:hint="eastAsia"/>
          <w:lang w:val="en-US" w:eastAsia="zh-CN"/>
        </w:rPr>
        <w:t>最佳实践是相对于公司而言的，行业不同，公司不同，其他公司的满分的最佳实践都只能参考，不能照搬。</w:t>
      </w:r>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MTg3NDQwOTBmOGE0YTA4OTFiOWJjZTE0MzVmYWM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955FBD"/>
    <w:rsid w:val="05C42AA9"/>
    <w:rsid w:val="063E3B92"/>
    <w:rsid w:val="06E71869"/>
    <w:rsid w:val="072617D0"/>
    <w:rsid w:val="074C64EA"/>
    <w:rsid w:val="07636879"/>
    <w:rsid w:val="081E11A1"/>
    <w:rsid w:val="08666596"/>
    <w:rsid w:val="09134714"/>
    <w:rsid w:val="097B7428"/>
    <w:rsid w:val="09EA59EB"/>
    <w:rsid w:val="0A025A76"/>
    <w:rsid w:val="0A326DE7"/>
    <w:rsid w:val="0A550E34"/>
    <w:rsid w:val="0A5F42C2"/>
    <w:rsid w:val="0ACB58D1"/>
    <w:rsid w:val="0B445535"/>
    <w:rsid w:val="0B680F31"/>
    <w:rsid w:val="0BF86C95"/>
    <w:rsid w:val="0C0B6B68"/>
    <w:rsid w:val="0C0C6EBD"/>
    <w:rsid w:val="0C375060"/>
    <w:rsid w:val="0C7A7C36"/>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9DB061A"/>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2A4F2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3ED45B4"/>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5D14F6"/>
    <w:rsid w:val="4F946F0C"/>
    <w:rsid w:val="4FAF7A38"/>
    <w:rsid w:val="503F4D00"/>
    <w:rsid w:val="50C87C29"/>
    <w:rsid w:val="50EA0B1D"/>
    <w:rsid w:val="514651EE"/>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C9C2265"/>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BA5331"/>
    <w:rsid w:val="69D0341E"/>
    <w:rsid w:val="6A676CFD"/>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272FF7"/>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5560</Words>
  <Characters>5643</Characters>
  <Lines>0</Lines>
  <Paragraphs>0</Paragraphs>
  <TotalTime>17</TotalTime>
  <ScaleCrop>false</ScaleCrop>
  <LinksUpToDate>false</LinksUpToDate>
  <CharactersWithSpaces>5646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2023-05-20T11:03:57Z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