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公有云使用的主机是虚拟化后的主机，网络隔离为逻辑隔离，私有云主机为物理机，需自行建设虚拟化，网络隔离可实现物理隔离及逻辑隔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BEB51B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1282005"/>
    <w:rsid w:val="23311E82"/>
    <w:rsid w:val="23B431CE"/>
    <w:rsid w:val="23C95BE4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4D203EA"/>
    <w:rsid w:val="473B31E1"/>
    <w:rsid w:val="47534199"/>
    <w:rsid w:val="4C975D73"/>
    <w:rsid w:val="51D15BF5"/>
    <w:rsid w:val="52C40B59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8B00228"/>
    <w:rsid w:val="69FF522C"/>
    <w:rsid w:val="6CCF7844"/>
    <w:rsid w:val="6CD72549"/>
    <w:rsid w:val="6E4B503C"/>
    <w:rsid w:val="6F490CF7"/>
    <w:rsid w:val="74EB46A4"/>
    <w:rsid w:val="77973671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724</Words>
  <Characters>740</Characters>
  <Lines>0</Lines>
  <Paragraphs>0</Paragraphs>
  <TotalTime>89</TotalTime>
  <ScaleCrop>false</ScaleCrop>
  <LinksUpToDate>false</LinksUpToDate>
  <CharactersWithSpaces>741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2023-05-06T03:42:14Z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