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C00000"/>
          <w:sz w:val="18"/>
          <w:szCs w:val="18"/>
        </w:rPr>
        <w:t xml:space="preserve">DataWisePartners · WCM Mission Control</w:t>
      </w:r>
    </w:p>
    <w:p>
      <w:pPr>
        <w:pStyle w:val="Title"/>
        <w:spacing w:after="160"/>
      </w:pPr>
      <w:r>
        <w:rPr>
          <w:b/>
          <w:bCs/>
          <w:sz w:val="40"/>
          <w:szCs w:val="40"/>
        </w:rPr>
        <w:t xml:space="preserve">Capitolo 15 — Esempi di routing domain-agnostic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 — Esempi di routing domain-agnostic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Pubblico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Lettori tecnici e non tecnici del WCM Process &amp; Memory Book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Versione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FROZEN-15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 master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2026-08-29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FROZEN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path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wcm/documentation/process-memory-book/chapters/15_esempi_di_routing_domain_agnostic.md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SHA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3829858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Release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2026-08-31T22:48:24.896Z</w:t>
            </w:r>
          </w:p>
        </w:tc>
      </w:tr>
    </w:tbl>
    <w:p>
      <w:pPr>
        <w:spacing w:after="240" w:before="160"/>
      </w:pPr>
      <w:r>
        <w:rPr>
          <w:i/>
          <w:iCs/>
          <w:color w:val="555555"/>
          <w:sz w:val="18"/>
          <w:szCs w:val="18"/>
        </w:rPr>
        <w:t xml:space="preserve">GitHub main è la source of truth. Questo Word è una release derivata: non costituisce approvazione né autorità.</w:t>
      </w:r>
    </w:p>
    <w:p>
      <w:pPr>
        <w:spacing w:after="120"/>
      </w:pPr>
      <w:r>
        <w:rPr>
          <w:b/>
          <w:bCs/>
        </w:rPr>
        <w:t xml:space="preserve">Stato:</w:t>
      </w:r>
      <w:r>
        <w:t xml:space="preserve"> FROZEN</w:t>
      </w:r>
      <w:r>
        <w:t xml:space="preserve"> </w:t>
      </w:r>
      <w:r>
        <w:rPr>
          <w:b/>
          <w:bCs/>
        </w:rPr>
        <w:t xml:space="preserve">Parte:</w:t>
      </w:r>
      <w:r>
        <w:t xml:space="preserve"> V — Da una richiesta alle regole applicabili</w:t>
      </w:r>
      <w:r>
        <w:t xml:space="preserve"> </w:t>
      </w:r>
      <w:r>
        <w:rPr>
          <w:b/>
          <w:bCs/>
        </w:rPr>
        <w:t xml:space="preserve">Scope:</w:t>
      </w:r>
      <w:r>
        <w:t xml:space="preserve"> WCM generale / domain-agnostic</w:t>
      </w:r>
      <w:r>
        <w:t xml:space="preserve"> </w:t>
      </w:r>
      <w:r>
        <w:rPr>
          <w:b/>
          <w:bCs/>
        </w:rPr>
        <w:t xml:space="preserve">Review:</w:t>
      </w:r>
      <w:r>
        <w:t xml:space="preserve"> Technical Review PASS / Human Comprehension Review PASS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</w:pPr>
      <w:r>
        <w:t xml:space="preserve">15.0 Dalla teoria al movimento</w:t>
      </w:r>
    </w:p>
    <w:p>
      <w:pPr>
        <w:spacing w:after="120"/>
      </w:pPr>
      <w:r>
        <w:t xml:space="preserve">Nei Capitoli 13 e 14 abbiamo costruito il percorso.</w:t>
      </w:r>
    </w:p>
    <w:p>
      <w:pPr>
        <w:spacing w:after="120"/>
      </w:pPr>
      <w:r>
        <w:t xml:space="preserve">Abbiamo visto come una richiesta viene trasformata in un contesto operativo e come WCM individua processi, protocolli, guard, capability e stop condition applicabili.</w:t>
      </w:r>
    </w:p>
    <w:p>
      <w:pPr>
        <w:spacing w:after="120"/>
      </w:pPr>
      <w:r>
        <w:t xml:space="preserve">Ora facciamo una cosa diversa.</w:t>
      </w:r>
    </w:p>
    <w:p>
      <w:pPr>
        <w:spacing w:after="120"/>
      </w:pPr>
      <w:r>
        <w:t xml:space="preserve">Non aggiungiamo nuove regole.</w:t>
      </w:r>
    </w:p>
    <w:p>
      <w:pPr>
        <w:spacing w:after="120"/>
      </w:pPr>
      <w:r>
        <w:t xml:space="preserve">Le usiamo.</w:t>
      </w:r>
    </w:p>
    <w:p>
      <w:pPr>
        <w:spacing w:after="120"/>
      </w:pPr>
      <w:r>
        <w:t xml:space="preserve">Questo capitolo contiene esempi volutamente astratti. Non appartengono a un progetto reale e non descrivono un dominio specifico.</w:t>
      </w:r>
    </w:p>
    <w:p>
      <w:pPr>
        <w:spacing w:after="120"/>
      </w:pPr>
      <w:r>
        <w:t xml:space="preserve">Servono a mostrare una proprietà fondamentale del WCM: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richieste molto diverse possono essere instradate attraverso la stessa architettura senza dover reinventare ogni volta il metodo.</w:t>
      </w:r>
    </w:p>
    <w:p>
      <w:pPr>
        <w:spacing w:after="120"/>
      </w:pPr>
      <w:r>
        <w:t xml:space="preserve">La forma che useremo è sempre la stessa: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REQUEST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INTERPRETAZIONE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EXECUTION FACT / EVENT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PROCESS / PROTOCOL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GUARD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ACTION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STOP / CONTINUE</w:t>
      </w:r>
    </w:p>
    <w:p>
      <w:pPr>
        <w:spacing w:after="120"/>
      </w:pPr>
    </w:p>
    <w:p>
      <w:pPr>
        <w:spacing w:after="120"/>
      </w:pPr>
      <w:r>
        <w:t xml:space="preserve">Quando esiste una route machine-readable corrente, useremo quella esatta.</w:t>
      </w:r>
    </w:p>
    <w:p>
      <w:pPr>
        <w:spacing w:after="120"/>
      </w:pPr>
      <w:r>
        <w:t xml:space="preserve">Quando invece l'esempio richiede comprensione semantica prima di arrivare a un evento strutturato, distingueremo esplicitamente il reasoning dal mechanical enforcement.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</w:pPr>
      <w:r>
        <w:t xml:space="preserve">15.1 Come leggere gli esempi</w:t>
      </w:r>
    </w:p>
    <w:p>
      <w:pPr>
        <w:spacing w:after="120"/>
      </w:pPr>
      <w:r>
        <w:t xml:space="preserve">Ogni scenario contiene sette passaggi.</w:t>
      </w:r>
    </w:p>
    <w:p>
      <w:pPr>
        <w:pStyle w:val="Heading3"/>
      </w:pPr>
      <w:r>
        <w:t xml:space="preserve">1. Request</w:t>
      </w:r>
    </w:p>
    <w:p>
      <w:pPr>
        <w:spacing w:after="120"/>
      </w:pPr>
      <w:r>
        <w:t xml:space="preserve">La richiesta iniziale, espressa in linguaggio naturale o come attivazione operativa.</w:t>
      </w:r>
    </w:p>
    <w:p>
      <w:pPr>
        <w:pStyle w:val="Heading3"/>
      </w:pPr>
      <w:r>
        <w:t xml:space="preserve">2. Interpretazione</w:t>
      </w:r>
    </w:p>
    <w:p>
      <w:pPr>
        <w:spacing w:after="120"/>
      </w:pPr>
      <w:r>
        <w:t xml:space="preserve">Che cosa sembra essere richiesto e quale classe di lavoro è coinvolta.</w:t>
      </w:r>
    </w:p>
    <w:p>
      <w:pPr>
        <w:pStyle w:val="Heading3"/>
      </w:pPr>
      <w:r>
        <w:t xml:space="preserve">3. Fact / Event</w:t>
      </w:r>
    </w:p>
    <w:p>
      <w:pPr>
        <w:spacing w:after="120"/>
      </w:pPr>
      <w:r>
        <w:t xml:space="preserve">Il fatto strutturato che, se disponibile, rende il routing più deterministico.</w:t>
      </w:r>
    </w:p>
    <w:p>
      <w:pPr>
        <w:pStyle w:val="Heading3"/>
      </w:pPr>
      <w:r>
        <w:t xml:space="preserve">4. Process / Protocol</w:t>
      </w:r>
    </w:p>
    <w:p>
      <w:pPr>
        <w:spacing w:after="120"/>
      </w:pPr>
      <w:r>
        <w:t xml:space="preserve">Le fonti procedurali minime applicabili.</w:t>
      </w:r>
    </w:p>
    <w:p>
      <w:pPr>
        <w:pStyle w:val="Heading3"/>
      </w:pPr>
      <w:r>
        <w:t xml:space="preserve">5. Guard</w:t>
      </w:r>
    </w:p>
    <w:p>
      <w:pPr>
        <w:spacing w:after="120"/>
      </w:pPr>
      <w:r>
        <w:t xml:space="preserve">La condizione che impedisce una prosecuzione non autorizzata o semanticamente sbagliata.</w:t>
      </w:r>
    </w:p>
    <w:p>
      <w:pPr>
        <w:pStyle w:val="Heading3"/>
      </w:pPr>
      <w:r>
        <w:t xml:space="preserve">6. Action</w:t>
      </w:r>
    </w:p>
    <w:p>
      <w:pPr>
        <w:spacing w:after="120"/>
      </w:pPr>
      <w:r>
        <w:t xml:space="preserve">La transizione consentita dalla route.</w:t>
      </w:r>
    </w:p>
    <w:p>
      <w:pPr>
        <w:pStyle w:val="Heading3"/>
      </w:pPr>
      <w:r>
        <w:t xml:space="preserve">7. Stop / Continue</w:t>
      </w:r>
    </w:p>
    <w:p>
      <w:pPr>
        <w:spacing w:after="120"/>
      </w:pPr>
      <w:r>
        <w:t xml:space="preserve">La vera condizione che decide se il workflow continua o si ferma.</w:t>
      </w:r>
    </w:p>
    <w:p>
      <w:pPr>
        <w:spacing w:after="120"/>
      </w:pPr>
      <w:r>
        <w:t xml:space="preserve">Questa struttura non pretende di sostituire ogni workflow WCM. È una lente pedagogica.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15.2 Scenario A — «Continua da dove eri rimasto»</w:t>
      </w:r>
    </w:p>
    <w:p>
      <w:pPr>
        <w:pStyle w:val="Heading2"/>
      </w:pPr>
      <w:r>
        <w:t xml:space="preserve">Request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«Continua il lavoro.»</w:t>
      </w:r>
    </w:p>
    <w:p>
      <w:pPr>
        <w:spacing w:after="120"/>
      </w:pPr>
      <w:r>
        <w:t xml:space="preserve">Da sola la frase è insufficiente. Non dice quale step ripetere, quale output produrre o dove fermarsi.</w:t>
      </w:r>
    </w:p>
    <w:p>
      <w:pPr>
        <w:pStyle w:val="Heading2"/>
      </w:pPr>
      <w:r>
        <w:t xml:space="preserve">Interpretazione</w:t>
      </w:r>
    </w:p>
    <w:p>
      <w:pPr>
        <w:spacing w:after="120"/>
      </w:pPr>
      <w:r>
        <w:t xml:space="preserve">WCM verifica prima se esiste un workflow materiale incompleto.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status = INTERRUPTED_RESUMABLE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next_transition = REVIEW</w:t>
      </w:r>
    </w:p>
    <w:p>
      <w:pPr>
        <w:spacing w:after="120"/>
      </w:pPr>
    </w:p>
    <w:p>
      <w:pPr>
        <w:pStyle w:val="Heading2"/>
      </w:pPr>
      <w:r>
        <w:t xml:space="preserve">Fact / Event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WAKE_RESUME_REQUIRED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ON_WAKE</w:t>
      </w:r>
    </w:p>
    <w:p>
      <w:pPr>
        <w:spacing w:after="120"/>
      </w:pPr>
    </w:p>
    <w:p>
      <w:pPr>
        <w:pStyle w:val="Heading2"/>
      </w:pPr>
      <w:r>
        <w:t xml:space="preserve">Process / Protocol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PROC-005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PROT-005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PROT-009</w:t>
      </w:r>
    </w:p>
    <w:p>
      <w:pPr>
        <w:spacing w:after="120"/>
      </w:pPr>
    </w:p>
    <w:p>
      <w:pPr>
        <w:pStyle w:val="Heading2"/>
      </w:pPr>
      <w:r>
        <w:t xml:space="preserve">Guard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Resume Priority;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 rieseguire gli step completati;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verificare authority e scope;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retrieval minimo autorevole;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continuare solo fino alla vera stop condition.</w:t>
      </w:r>
    </w:p>
    <w:p>
      <w:pPr>
        <w:pStyle w:val="Heading2"/>
      </w:pPr>
      <w:r>
        <w:t xml:space="preserve">Action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CONTINUE</w:t>
      </w:r>
    </w:p>
    <w:p>
      <w:pPr>
        <w:spacing w:after="120"/>
      </w:pPr>
    </w:p>
    <w:p>
      <w:pPr>
        <w:pStyle w:val="Heading2"/>
      </w:pPr>
      <w:r>
        <w:t xml:space="preserve">Stop / Continue</w:t>
      </w:r>
    </w:p>
    <w:p>
      <w:pPr>
        <w:spacing w:after="120"/>
      </w:pPr>
      <w:r>
        <w:t xml:space="preserve">Se dopo </w:t>
      </w:r>
      <w:r>
        <w:rPr>
          <w:rFonts w:ascii="Courier New" w:cs="Courier New" w:eastAsia="Courier New" w:hAnsi="Courier New"/>
        </w:rPr>
        <w:t xml:space="preserve">REVIEW</w:t>
      </w:r>
      <w:r>
        <w:t xml:space="preserve"> esiste una transizione successiva già autorizzata e non c'è true stop, continua. Se raggiunge </w:t>
      </w:r>
      <w:r>
        <w:rPr>
          <w:rFonts w:ascii="Courier New" w:cs="Courier New" w:eastAsia="Courier New" w:hAnsi="Courier New"/>
        </w:rPr>
        <w:t xml:space="preserve">WAITING_AUTHORITY</w:t>
      </w:r>
      <w:r>
        <w:t xml:space="preserve">, si ferma.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FINE SESSIONE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FINE WORKFLOW</w:t>
      </w:r>
    </w:p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15.3 Scenario B — «Lo strumento non mi restituisce tutto»</w:t>
      </w:r>
    </w:p>
    <w:p>
      <w:pPr>
        <w:pStyle w:val="Heading2"/>
      </w:pPr>
      <w:r>
        <w:t xml:space="preserve">Request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«Recupera il contenuto completo e continua.»</w:t>
      </w:r>
    </w:p>
    <w:p>
      <w:pPr>
        <w:spacing w:after="120"/>
      </w:pPr>
      <w:r>
        <w:t xml:space="preserve">Durante l'esecuzione lo strumento restituisce un output limitato.</w:t>
      </w:r>
    </w:p>
    <w:p>
      <w:pPr>
        <w:pStyle w:val="Heading2"/>
      </w:pPr>
      <w:r>
        <w:t xml:space="preserve">Interpretazione</w:t>
      </w:r>
    </w:p>
    <w:p>
      <w:pPr>
        <w:spacing w:after="120"/>
      </w:pPr>
      <w:r>
        <w:t xml:space="preserve">Il primo fallimento non dimostra che la capability sia assente.</w:t>
      </w:r>
    </w:p>
    <w:p>
      <w:pPr>
        <w:pStyle w:val="Heading2"/>
      </w:pPr>
      <w:r>
        <w:t xml:space="preserve">Fact / Event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TOOL_OUTPUT_LIMIT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ON_TOOL_FAILURE</w:t>
      </w:r>
    </w:p>
    <w:p>
      <w:pPr>
        <w:spacing w:after="120"/>
      </w:pPr>
    </w:p>
    <w:p>
      <w:pPr>
        <w:pStyle w:val="Heading2"/>
      </w:pPr>
      <w:r>
        <w:t xml:space="preserve">Process / Protocol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PROT-011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PROT-003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PROT-009</w:t>
      </w:r>
    </w:p>
    <w:p>
      <w:pPr>
        <w:spacing w:after="120"/>
      </w:pPr>
    </w:p>
    <w:p>
      <w:pPr>
        <w:pStyle w:val="Heading2"/>
      </w:pPr>
      <w:r>
        <w:t xml:space="preserve">Guard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verificare la capability nella run corrente;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cercare una route diretta alternativa;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preservare la continuità del workflow;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delegare solo se la route lo consente e serve davvero.</w:t>
      </w:r>
    </w:p>
    <w:p>
      <w:pPr>
        <w:pStyle w:val="Heading2"/>
      </w:pPr>
      <w:r>
        <w:t xml:space="preserve">Action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RESOLVE_CAPABILITY</w:t>
      </w:r>
    </w:p>
    <w:p>
      <w:pPr>
        <w:spacing w:after="120"/>
      </w:pPr>
    </w:p>
    <w:p>
      <w:pPr>
        <w:spacing w:after="120"/>
      </w:pPr>
      <w:r>
        <w:t xml:space="preserve">Service policy: </w:t>
      </w:r>
      <w:r>
        <w:rPr>
          <w:rFonts w:ascii="Courier New" w:cs="Courier New" w:eastAsia="Courier New" w:hAnsi="Courier New"/>
        </w:rPr>
        <w:t xml:space="preserve">SERVICE_OPTIONAL</w:t>
      </w:r>
      <w:r>
        <w:t xml:space="preserve">.</w:t>
      </w:r>
    </w:p>
    <w:p>
      <w:pPr>
        <w:pStyle w:val="Heading2"/>
      </w:pPr>
      <w:r>
        <w:t xml:space="preserve">Stop / Continue</w:t>
      </w:r>
    </w:p>
    <w:p>
      <w:pPr>
        <w:spacing w:after="120"/>
      </w:pPr>
      <w:r>
        <w:t xml:space="preserve">Se una modalità diretta alternativa recupera il contenuto, il workflow continua. Solo dopo evidence negativa sufficiente può emergere un vero technical stop.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PRIMO ERRORE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CAPABILITY GAP</w:t>
      </w:r>
    </w:p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15.4 Scenario C — «Non so se questo strumento può farlo»</w:t>
      </w:r>
    </w:p>
    <w:p>
      <w:pPr>
        <w:pStyle w:val="Heading2"/>
      </w:pPr>
      <w:r>
        <w:t xml:space="preserve">Request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«Esegui questa operazione con gli strumenti disponibili.»</w:t>
      </w:r>
    </w:p>
    <w:p>
      <w:pPr>
        <w:pStyle w:val="Heading2"/>
      </w:pPr>
      <w:r>
        <w:t xml:space="preserve">Fact / Event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CAPABILITY_UNVERIFIED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ON_TOOL_FAILURE</w:t>
      </w:r>
    </w:p>
    <w:p>
      <w:pPr>
        <w:spacing w:after="120"/>
      </w:pPr>
    </w:p>
    <w:p>
      <w:pPr>
        <w:pStyle w:val="Heading2"/>
      </w:pPr>
      <w:r>
        <w:t xml:space="preserve">Process / Protocol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PROT-011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PROT-003</w:t>
      </w:r>
    </w:p>
    <w:p>
      <w:pPr>
        <w:spacing w:after="120"/>
      </w:pPr>
    </w:p>
    <w:p>
      <w:pPr>
        <w:pStyle w:val="Heading2"/>
      </w:pPr>
      <w:r>
        <w:t xml:space="preserve">Guard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No negative capability conclusion before current-run evidence check.</w:t>
      </w:r>
    </w:p>
    <w:p>
      <w:pPr>
        <w:pStyle w:val="Heading2"/>
      </w:pPr>
      <w:r>
        <w:t xml:space="preserve">Action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RESOLVE_CAPABILITY</w:t>
      </w:r>
    </w:p>
    <w:p>
      <w:pPr>
        <w:spacing w:after="120"/>
      </w:pPr>
    </w:p>
    <w:p>
      <w:pPr>
        <w:pStyle w:val="Heading2"/>
      </w:pPr>
      <w:r>
        <w:t xml:space="preserve">Stop / Continue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DIRECT → continua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SERVICE_REQUIRED / OPTIONAL → usa il service solo nel perimetro autorizzato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CAPABILITY_GAP VERIFICATO → stop tecnico reale</w:t>
      </w:r>
    </w:p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15.5 Scenario D — «Lo stato non torna»</w:t>
      </w:r>
    </w:p>
    <w:p>
      <w:pPr>
        <w:pStyle w:val="Heading2"/>
      </w:pPr>
      <w:r>
        <w:t xml:space="preserve">Request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«Dimmi qual è il prossimo passo.»</w:t>
      </w:r>
    </w:p>
    <w:p>
      <w:pPr>
        <w:pStyle w:val="Heading2"/>
      </w:pPr>
      <w:r>
        <w:t xml:space="preserve">Fact / Event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UNKNOWN_OPERATIONAL_STATE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BEFORE_STOP</w:t>
      </w:r>
    </w:p>
    <w:p>
      <w:pPr>
        <w:spacing w:after="120"/>
      </w:pPr>
    </w:p>
    <w:p>
      <w:pPr>
        <w:pStyle w:val="Heading2"/>
      </w:pPr>
      <w:r>
        <w:t xml:space="preserve">Process / Protocol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PROT-016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PROC-011</w:t>
      </w:r>
    </w:p>
    <w:p>
      <w:pPr>
        <w:spacing w:after="120"/>
      </w:pPr>
    </w:p>
    <w:p>
      <w:pPr>
        <w:pStyle w:val="Heading2"/>
      </w:pPr>
      <w:r>
        <w:t xml:space="preserve">Guard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STRUCTURED-BEFORE-TEXT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NO FUZZY INFERENCE</w:t>
      </w:r>
    </w:p>
    <w:p>
      <w:pPr>
        <w:spacing w:after="120"/>
      </w:pPr>
    </w:p>
    <w:p>
      <w:pPr>
        <w:pStyle w:val="Heading2"/>
      </w:pPr>
      <w:r>
        <w:t xml:space="preserve">Action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FAIL_CLOSED</w:t>
      </w:r>
    </w:p>
    <w:p>
      <w:pPr>
        <w:spacing w:after="120"/>
      </w:pPr>
    </w:p>
    <w:p>
      <w:pPr>
        <w:spacing w:after="120"/>
      </w:pPr>
      <w:r>
        <w:t xml:space="preserve">Prima si applica la reconciliation deterministica prevista. Se produce uno stato valido, il routing può riprendere; altrimenti si ferma senza inventare il prossimo step.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15.6 Scenario E — «L'indice dice una cosa, la baseline un'altra»</w:t>
      </w:r>
    </w:p>
    <w:p>
      <w:pPr>
        <w:pStyle w:val="Heading2"/>
      </w:pPr>
      <w:r>
        <w:t xml:space="preserve">Fact / Event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MEMORY_OR_INDEX_DRIFT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BEFORE_STOP</w:t>
      </w:r>
    </w:p>
    <w:p>
      <w:pPr>
        <w:spacing w:after="120"/>
      </w:pPr>
    </w:p>
    <w:p>
      <w:pPr>
        <w:pStyle w:val="Heading2"/>
      </w:pPr>
      <w:r>
        <w:t xml:space="preserve">Process / Protocol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PROC-008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PROT-013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PROT-005</w:t>
      </w:r>
    </w:p>
    <w:p>
      <w:pPr>
        <w:spacing w:after="120"/>
      </w:pPr>
    </w:p>
    <w:p>
      <w:pPr>
        <w:pStyle w:val="Heading2"/>
      </w:pPr>
      <w:r>
        <w:t xml:space="preserve">Guard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 usare acriticamente l'index stale;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applicare Source Precedence;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tentare reconciliation deterministica quando consentita;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 delegare al repair meccanico un conflitto di significato.</w:t>
      </w:r>
    </w:p>
    <w:p>
      <w:pPr>
        <w:pStyle w:val="Heading2"/>
      </w:pPr>
      <w:r>
        <w:t xml:space="preserve">Action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RECONCILE</w:t>
      </w:r>
    </w:p>
    <w:p>
      <w:pPr>
        <w:spacing w:after="120"/>
      </w:pPr>
    </w:p>
    <w:p>
      <w:pPr>
        <w:spacing w:after="120"/>
      </w:pPr>
      <w:r>
        <w:t xml:space="preserve">Service policy: </w:t>
      </w:r>
      <w:r>
        <w:rPr>
          <w:rFonts w:ascii="Courier New" w:cs="Courier New" w:eastAsia="Courier New" w:hAnsi="Courier New"/>
        </w:rPr>
        <w:t xml:space="preserve">SERVICE_OPTIONAL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15.7 Scenario F — «Hai modificato qualcosa di materiale: adesso cosa succede?»</w:t>
      </w:r>
    </w:p>
    <w:p>
      <w:pPr>
        <w:pStyle w:val="Heading2"/>
      </w:pPr>
      <w:r>
        <w:t xml:space="preserve">Fact / Event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MATERIAL_DELTA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AFTER_MATERIAL_DELTA</w:t>
      </w:r>
    </w:p>
    <w:p>
      <w:pPr>
        <w:spacing w:after="120"/>
      </w:pPr>
    </w:p>
    <w:p>
      <w:pPr>
        <w:pStyle w:val="Heading2"/>
      </w:pPr>
      <w:r>
        <w:t xml:space="preserve">Process / Protocol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PROC-006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PROC-011</w:t>
      </w:r>
    </w:p>
    <w:p>
      <w:pPr>
        <w:spacing w:after="120"/>
      </w:pPr>
    </w:p>
    <w:p>
      <w:pPr>
        <w:pStyle w:val="Heading2"/>
      </w:pPr>
      <w:r>
        <w:t xml:space="preserve">Guard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consolidare soltanto il delta organizzativamente rilevante;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 copiare indiscriminatamente la sessione;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riconciliare lo stato derivato quando necessario;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mantenere source-of-truth e projection separate.</w:t>
      </w:r>
    </w:p>
    <w:p>
      <w:pPr>
        <w:pStyle w:val="Heading2"/>
      </w:pPr>
      <w:r>
        <w:t xml:space="preserve">Action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RECONCILE</w:t>
      </w:r>
    </w:p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15.8 Scenario G — «C'è una dipendenza interna che non è ancora pronta»</w:t>
      </w:r>
    </w:p>
    <w:p>
      <w:pPr>
        <w:pStyle w:val="Heading2"/>
      </w:pPr>
      <w:r>
        <w:t xml:space="preserve">Fact / Event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INTERNAL_DEPENDENCY_PENDING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ON_WAKE</w:t>
      </w:r>
    </w:p>
    <w:p>
      <w:pPr>
        <w:spacing w:after="120"/>
      </w:pPr>
    </w:p>
    <w:p>
      <w:pPr>
        <w:pStyle w:val="Heading2"/>
      </w:pPr>
      <w:r>
        <w:t xml:space="preserve">Process / Protocol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PROT-018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PROT-009</w:t>
      </w:r>
    </w:p>
    <w:p>
      <w:pPr>
        <w:spacing w:after="120"/>
      </w:pPr>
    </w:p>
    <w:p>
      <w:pPr>
        <w:pStyle w:val="Heading2"/>
      </w:pPr>
      <w:r>
        <w:t xml:space="preserve">Guard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PENDING ≠ PROJECT BLOCKER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PENDING ≠ HUMAN AUTHORITY GATE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PENDING ≠ PERMISSION TO REPEAT COMPLETED WORK</w:t>
      </w:r>
    </w:p>
    <w:p>
      <w:pPr>
        <w:spacing w:after="120"/>
      </w:pPr>
    </w:p>
    <w:p>
      <w:pPr>
        <w:pStyle w:val="Heading2"/>
      </w:pPr>
      <w:r>
        <w:t xml:space="preserve">Action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WAIT_INTERNAL_RESOLUTION</w:t>
      </w:r>
    </w:p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15.9 Scenario H — «La dipendenza è pronta»</w:t>
      </w:r>
    </w:p>
    <w:p>
      <w:pPr>
        <w:pStyle w:val="Heading2"/>
      </w:pPr>
      <w:r>
        <w:t xml:space="preserve">Fact / Event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INTERNAL_DEPENDENCY_READY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ON_WAKE</w:t>
      </w:r>
    </w:p>
    <w:p>
      <w:pPr>
        <w:spacing w:after="120"/>
      </w:pPr>
    </w:p>
    <w:p>
      <w:pPr>
        <w:pStyle w:val="Heading2"/>
      </w:pPr>
      <w:r>
        <w:t xml:space="preserve">Process / Protocol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PROT-018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PROT-009</w:t>
      </w:r>
    </w:p>
    <w:p>
      <w:pPr>
        <w:spacing w:after="120"/>
      </w:pPr>
    </w:p>
    <w:p>
      <w:pPr>
        <w:pStyle w:val="Heading2"/>
      </w:pPr>
      <w:r>
        <w:t xml:space="preserve">Guard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verificare lineage;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verificare evidence persistita;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verificare che l'output corrisponda alla dependency dichiarata;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 riaprire gli step precedenti.</w:t>
      </w:r>
    </w:p>
    <w:p>
      <w:pPr>
        <w:pStyle w:val="Heading2"/>
      </w:pPr>
      <w:r>
        <w:t xml:space="preserve">Action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CONSUME_AND_CONTINUE</w:t>
      </w:r>
    </w:p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15.10 Scenario I — «Il pacchetto è pronto: fammi decidere»</w:t>
      </w:r>
    </w:p>
    <w:p>
      <w:pPr>
        <w:pStyle w:val="Heading2"/>
      </w:pPr>
      <w:r>
        <w:t xml:space="preserve">Fact / Event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BOARD_GATE_READY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BEFORE_BOARD_GATE</w:t>
      </w:r>
    </w:p>
    <w:p>
      <w:pPr>
        <w:spacing w:after="120"/>
      </w:pPr>
    </w:p>
    <w:p>
      <w:pPr>
        <w:pStyle w:val="Heading2"/>
      </w:pPr>
      <w:r>
        <w:t xml:space="preserve">Process / Protocol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PROT-010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PROT-009</w:t>
      </w:r>
    </w:p>
    <w:p>
      <w:pPr>
        <w:spacing w:after="120"/>
      </w:pPr>
    </w:p>
    <w:p>
      <w:pPr>
        <w:pStyle w:val="Heading2"/>
      </w:pPr>
      <w:r>
        <w:t xml:space="preserve">Guard</w:t>
      </w:r>
    </w:p>
    <w:p>
      <w:pPr>
        <w:spacing w:after="120"/>
      </w:pPr>
      <w:r>
        <w:t xml:space="preserve">Il target di authority deve essere esatto; il sistema non può ampliare l'authority né scegliere al posto dell'owner.</w:t>
      </w:r>
    </w:p>
    <w:p>
      <w:pPr>
        <w:pStyle w:val="Heading2"/>
      </w:pPr>
      <w:r>
        <w:t xml:space="preserve">Action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WAIT_AUTHORITY</w:t>
      </w:r>
    </w:p>
    <w:p>
      <w:pPr>
        <w:spacing w:after="120"/>
      </w:pPr>
    </w:p>
    <w:p>
      <w:pPr>
        <w:spacing w:after="120"/>
      </w:pPr>
      <w:r>
        <w:t xml:space="preserve">Questa è una vera stop condition, non un errore.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15.11 Scenario L — «Cambia questa regola»</w:t>
      </w:r>
    </w:p>
    <w:p>
      <w:pPr>
        <w:pStyle w:val="Heading2"/>
      </w:pPr>
      <w:r>
        <w:t xml:space="preserve">Classification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WCM CHANGE</w:t>
      </w:r>
    </w:p>
    <w:p>
      <w:pPr>
        <w:spacing w:after="120"/>
      </w:pPr>
    </w:p>
    <w:p>
      <w:pPr>
        <w:pStyle w:val="Heading2"/>
      </w:pPr>
      <w:r>
        <w:t xml:space="preserve">Guard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PROPOSTA DI CAMBIAMENTO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AUTHORITY A SCRIVERE IL CAMBIAMENTO</w:t>
      </w:r>
    </w:p>
    <w:p>
      <w:pPr>
        <w:spacing w:after="120"/>
      </w:pPr>
    </w:p>
    <w:p>
      <w:pPr>
        <w:pStyle w:val="Heading2"/>
      </w:pPr>
      <w:r>
        <w:t xml:space="preserve">Action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PRODUCI IMPACT PREVIEW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STOP</w:t>
      </w:r>
    </w:p>
    <w:p>
      <w:pPr>
        <w:spacing w:after="120"/>
      </w:pPr>
    </w:p>
    <w:p>
      <w:pPr>
        <w:spacing w:after="120"/>
      </w:pPr>
      <w:r>
        <w:t xml:space="preserve">Il sistema resta fermo finché l'owner non conferisce authority esplicita </w:t>
      </w:r>
      <w:r>
        <w:rPr>
          <w:b/>
          <w:bCs/>
        </w:rPr>
        <w:t xml:space="preserve">dopo</w:t>
      </w:r>
      <w:r>
        <w:t xml:space="preserve"> la classificazione del WCM CHANGE e la presentazione dell'Impact Preview.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15.12 Scenario M — «Aggiorna questo testo» senza cambiare il metodo</w:t>
      </w:r>
    </w:p>
    <w:p>
      <w:pPr>
        <w:pStyle w:val="Heading2"/>
      </w:pPr>
      <w:r>
        <w:t xml:space="preserve">Classification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WCM RUN</w:t>
      </w:r>
    </w:p>
    <w:p>
      <w:pPr>
        <w:spacing w:after="120"/>
      </w:pPr>
    </w:p>
    <w:p>
      <w:pPr>
        <w:spacing w:after="120"/>
      </w:pPr>
      <w:r>
        <w:t xml:space="preserve">Una correzione puramente formale non è automaticamente un WCM CHANGE. È il significato materiale, non il semplice fatto di scrivere, a determinare la classificazione.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15.13 Scenario N — «La UI dice che è tutto completato»</w:t>
      </w:r>
    </w:p>
    <w:p>
      <w:pPr>
        <w:spacing w:after="120"/>
      </w:pPr>
      <w:r>
        <w:t xml:space="preserve">La domanda riguarda un execution fact. La UI è una presentation surface.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AUTHORITY / CANON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runtime workflow checkpoint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derived state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human view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projection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UI</w:t>
      </w:r>
    </w:p>
    <w:p>
      <w:pPr>
        <w:spacing w:after="120"/>
      </w:pPr>
    </w:p>
    <w:p>
      <w:pPr>
        <w:spacing w:after="120"/>
      </w:pPr>
      <w:r>
        <w:t xml:space="preserve">Guard: </w:t>
      </w:r>
      <w:r>
        <w:rPr>
          <w:rFonts w:ascii="Courier New" w:cs="Courier New" w:eastAsia="Courier New" w:hAnsi="Courier New"/>
        </w:rPr>
        <w:t xml:space="preserve">PRESENTATION ≠ EXECUTION MASTER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15.14 Scenario O — «Leggi tutto per essere sicuro»</w:t>
      </w:r>
    </w:p>
    <w:p>
      <w:pPr>
        <w:pStyle w:val="Heading2"/>
      </w:pPr>
      <w:r>
        <w:t xml:space="preserve">Process / Protocol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PROC-005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PROT-005</w:t>
      </w:r>
    </w:p>
    <w:p>
      <w:pPr>
        <w:spacing w:after="120"/>
      </w:pPr>
    </w:p>
    <w:p>
      <w:pPr>
        <w:pStyle w:val="Heading2"/>
      </w:pPr>
      <w:r>
        <w:t xml:space="preserve">Guard</w:t>
      </w:r>
    </w:p>
    <w:p>
      <w:pPr>
        <w:spacing w:after="120"/>
      </w:pPr>
      <w:r>
        <w:t xml:space="preserve">Context Sufficiency Gate + Stop When Sufficient.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ENTRY POINT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INDEX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FONTI MINIME AUTOREVOLI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STOP WHEN SUFFICIENT</w:t>
      </w:r>
    </w:p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15.15 Scenario P — «Due fonti autorevoli dicono cose incompatibili»</w:t>
      </w:r>
    </w:p>
    <w:p>
      <w:pPr>
        <w:spacing w:after="120"/>
      </w:pPr>
      <w:r>
        <w:t xml:space="preserve">Prima di dichiarare conflitto reale, verifica scope, status, recency nel contesto corretto, supersession, source-of-truth vs projection e precedence specifica del tipo di fatto.</w:t>
      </w:r>
    </w:p>
    <w:p>
      <w:pPr>
        <w:spacing w:after="120"/>
      </w:pPr>
      <w:r>
        <w:t xml:space="preserve">Se il conflitto resta materiale: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NO SILENT CONFLICT RESOLUTION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FAIL CLOSED / ESCALATE</w:t>
      </w:r>
    </w:p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15.16 Cosa cambia tra gli scenari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1. QUAL È LA RICHIESTA?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2. QUAL È IL FATTO OPERATIVO RILEVANTE?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3. ESISTE UNO STATO STRUTTURATO?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4. QUAL È LA SOURCE PRECEDENCE?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5. È RUN O CHANGE?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6. QUALE PROCESSO GOVERNA IL FLUSSO?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7. QUALE PROTOCOLLO IMPONE LE GUARD?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8. ESISTE UNA ROUTE EXACT-MATCH?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9. QUALE CAPABILITY SERVE?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10. QUAL È LA TRUE STOP?</w:t>
      </w:r>
    </w:p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15.17 Domain-agnostic non significa context-free</w:t>
      </w:r>
    </w:p>
    <w:p>
      <w:pPr>
        <w:spacing w:after="120"/>
      </w:pPr>
      <w:r>
        <w:t xml:space="preserve">Il contenuto del dominio cambia; la grammatica organizzativa può restare simile.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15.18 Determinismo: dove arriva davvero</w:t>
      </w:r>
    </w:p>
    <w:p>
      <w:pPr>
        <w:spacing w:after="120"/>
      </w:pPr>
      <w:r>
        <w:t xml:space="preserve">Determinismo dove il significato è già stato formalizzato; reasoning controllato dove il significato deve ancora essere scoperto.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15.19 La tabella mentale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Situazione</w:t>
            </w:r>
          </w:p>
        </w:tc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Route primaria</w:t>
            </w:r>
          </w:p>
        </w:tc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Guard chiave</w:t>
            </w:r>
          </w:p>
        </w:tc>
        <w:tc>
          <w:tcPr>
            <w:tcW w:type="dxa" w:w="241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Esito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workflow interrotto</w:t>
            </w:r>
          </w:p>
        </w:tc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Resume Priority</w:t>
            </w:r>
          </w:p>
        </w:tc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duplicate work</w:t>
            </w:r>
          </w:p>
        </w:tc>
        <w:tc>
          <w:tcPr>
            <w:tcW w:type="dxa" w:w="241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CONTINUE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tool output limit</w:t>
            </w:r>
          </w:p>
        </w:tc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Capability Evidence</w:t>
            </w:r>
          </w:p>
        </w:tc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first failure ≠ gap</w:t>
            </w:r>
          </w:p>
        </w:tc>
        <w:tc>
          <w:tcPr>
            <w:tcW w:type="dxa" w:w="241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RESOLVE_CAPABILITY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stato operativo ambiguo</w:t>
            </w:r>
          </w:p>
        </w:tc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Deterministic State</w:t>
            </w:r>
          </w:p>
        </w:tc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fuzzy inference</w:t>
            </w:r>
          </w:p>
        </w:tc>
        <w:tc>
          <w:tcPr>
            <w:tcW w:type="dxa" w:w="241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FAIL_CLOSED / reconcile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knowledge/index drift</w:t>
            </w:r>
          </w:p>
        </w:tc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Knowledge Assurance</w:t>
            </w:r>
          </w:p>
        </w:tc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source precedence</w:t>
            </w:r>
          </w:p>
        </w:tc>
        <w:tc>
          <w:tcPr>
            <w:tcW w:type="dxa" w:w="241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RECONCILE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material delta</w:t>
            </w:r>
          </w:p>
        </w:tc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Consolidation + State Reconciliation</w:t>
            </w:r>
          </w:p>
        </w:tc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persist only material delta</w:t>
            </w:r>
          </w:p>
        </w:tc>
        <w:tc>
          <w:tcPr>
            <w:tcW w:type="dxa" w:w="241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RECONCILE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dependency interna pending</w:t>
            </w:r>
          </w:p>
        </w:tc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Internal Dependency</w:t>
            </w:r>
          </w:p>
        </w:tc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pending ≠ project blocker</w:t>
            </w:r>
          </w:p>
        </w:tc>
        <w:tc>
          <w:tcPr>
            <w:tcW w:type="dxa" w:w="241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WAIT_INTERNAL_RESOLUTION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dependency interna ready</w:t>
            </w:r>
          </w:p>
        </w:tc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Internal Dependency</w:t>
            </w:r>
          </w:p>
        </w:tc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lineage</w:t>
            </w:r>
          </w:p>
        </w:tc>
        <w:tc>
          <w:tcPr>
            <w:tcW w:type="dxa" w:w="241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CONSUME_AND_CONTINUE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Board Gate pronto</w:t>
            </w:r>
          </w:p>
        </w:tc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Authority Command + Workflow</w:t>
            </w:r>
          </w:p>
        </w:tc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exact authority target</w:t>
            </w:r>
          </w:p>
        </w:tc>
        <w:tc>
          <w:tcPr>
            <w:tcW w:type="dxa" w:w="241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WAIT_AUTHORITY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modifica della baseline</w:t>
            </w:r>
          </w:p>
        </w:tc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Change Gate</w:t>
            </w:r>
          </w:p>
        </w:tc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write before explicit authority</w:t>
            </w:r>
          </w:p>
        </w:tc>
        <w:tc>
          <w:tcPr>
            <w:tcW w:type="dxa" w:w="241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IMPACT PREVIEW + STOP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edit non semantico</w:t>
            </w:r>
          </w:p>
        </w:tc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normal RUN</w:t>
            </w:r>
          </w:p>
        </w:tc>
        <w:tc>
          <w:tcPr>
            <w:tcW w:type="dxa" w:w="24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material meaning unchanged</w:t>
            </w:r>
          </w:p>
        </w:tc>
        <w:tc>
          <w:tcPr>
            <w:tcW w:type="dxa" w:w="241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EDIT + VERIFY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Questa tabella è una sintesi pedagogica, non un nuovo registry.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15.20 Cosa abbiamo ottenuto</w:t>
      </w:r>
    </w:p>
    <w:p>
      <w:pPr>
        <w:spacing w:after="120"/>
      </w:pPr>
      <w:r>
        <w:t xml:space="preserve">Con il Capitolo 15 si chiude il percorso iniziato nel Capitolo 9 e si prepara il Capitolo 16 — Come leggere un processo WCM.</w:t>
      </w:r>
    </w:p>
    <w:p>
      <w:pPr>
        <w:pStyle w:val="Heading1"/>
      </w:pPr>
      <w:r>
        <w:t xml:space="preserve">Source Map</w:t>
      </w:r>
    </w:p>
    <w:p>
      <w:pPr>
        <w:spacing w:after="120"/>
      </w:pPr>
      <w:r>
        <w:t xml:space="preserve">Fonti principali: </w:t>
      </w:r>
      <w:r>
        <w:rPr>
          <w:rFonts w:ascii="Courier New" w:cs="Courier New" w:eastAsia="Courier New" w:hAnsi="Courier New"/>
        </w:rPr>
        <w:t xml:space="preserve">WCM_AGENT_START.md</w:t>
      </w:r>
      <w:r>
        <w:t xml:space="preserve">, </w:t>
      </w:r>
      <w:r>
        <w:rPr>
          <w:rFonts w:ascii="Courier New" w:cs="Courier New" w:eastAsia="Courier New" w:hAnsi="Courier New"/>
        </w:rPr>
        <w:t xml:space="preserve">wcm/GOVERNANCE.md</w:t>
      </w:r>
      <w:r>
        <w:t xml:space="preserve">, </w:t>
      </w:r>
      <w:r>
        <w:rPr>
          <w:rFonts w:ascii="Courier New" w:cs="Courier New" w:eastAsia="Courier New" w:hAnsi="Courier New"/>
        </w:rPr>
        <w:t xml:space="preserve">wcm/runtime/protocol-routing/ROUTING_SOURCE.json</w:t>
      </w:r>
      <w:r>
        <w:t xml:space="preserve">, </w:t>
      </w:r>
      <w:r>
        <w:rPr>
          <w:rFonts w:ascii="Courier New" w:cs="Courier New" w:eastAsia="Courier New" w:hAnsi="Courier New"/>
        </w:rPr>
        <w:t xml:space="preserve">PROTOCOL_ROUTING_REGISTRY.json</w:t>
      </w:r>
      <w:r>
        <w:t xml:space="preserve">, PROC-005/006/008/011, PROT-003/005/009/010/011/013/016/018.</w:t>
      </w:r>
    </w:p>
    <w:p>
      <w:pPr>
        <w:pStyle w:val="Heading2"/>
      </w:pPr>
      <w:r>
        <w:t xml:space="preserve">Maturity note</w:t>
      </w:r>
    </w:p>
    <w:p>
      <w:pPr>
        <w:spacing w:after="120"/>
      </w:pPr>
      <w:r>
        <w:t xml:space="preserve">Gli esempi descrivono la baseline WCM corrente e le route strutturate effettivamente presenti nel routing source al momento della stesura. Sono esempi pedagogici domain-agnostic, non dimostrazioni di validità universale. La field validation complessiva del modello continua.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15 — Esempi di routing domain-agnostic · FROZEN-15 · source 3829858 · pag.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840" w:hanging="240"/>
      </w:pPr>
    </w:lvl>
    <w:lvl w:ilvl="2" w15:tentative="1">
      <w:start w:val="1"/>
      <w:numFmt w:val="bullet"/>
      <w:lvlText w:val="·"/>
      <w:lvlJc w:val="left"/>
      <w:pPr>
        <w:ind w:left="12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  <w:lvl w:ilvl="1" w15:tentative="1">
      <w:start w:val="1"/>
      <w:numFmt w:val="lowerLetter"/>
      <w:lvlText w:val="%2."/>
      <w:lvlJc w:val="left"/>
      <w:pPr>
        <w:ind w:left="840" w:hanging="240"/>
      </w:pPr>
    </w:lvl>
    <w:lvl w:ilvl="2" w15:tentative="1">
      <w:start w:val="1"/>
      <w:numFmt w:val="decimal"/>
      <w:lvlText w:val="%3."/>
      <w:lvlJc w:val="left"/>
      <w:pPr>
        <w:ind w:left="12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2E5C8A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Calibri" w:cs="Calibri" w:eastAsia="Calibri" w:hAnsi="Calibri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2026-08-31T22:48:28.384Z</dcterms:created>
  <dcterms:modified xsi:type="dcterms:W3CDTF">2026-08-31T22:48:28.384Z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