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15 — Esempi di routing domain-agnostic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— Esempi di routing domain-agnostic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wcm/documentation/process-memory-book/chapters/15_esempi_di_routing_domain_agnostic.md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3829858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2026-08-29T21:29:36.695Z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15.0 Dalla teoria al movimento</w:t>
      </w:r>
    </w:p>
    <w:p>
      <w:pPr>
        <w:spacing w:after="120"/>
      </w:pPr>
      <w:r>
        <w:t xml:space="preserve">Nei Capitoli 13 e 14 abbiamo costruito il percorso.</w:t>
      </w:r>
    </w:p>
    <w:p>
      <w:pPr>
        <w:spacing w:after="120"/>
      </w:pPr>
      <w:r>
        <w:t xml:space="preserve">Abbiamo visto come una richiesta viene trasformata in un contesto operativo e come WCM individua processi, protocolli, guard, capability e stop condition applicabili.</w:t>
      </w:r>
    </w:p>
    <w:p>
      <w:pPr>
        <w:spacing w:after="120"/>
      </w:pPr>
      <w:r>
        <w:t xml:space="preserve">Ora facciamo una cosa diversa.</w:t>
      </w:r>
    </w:p>
    <w:p>
      <w:pPr>
        <w:spacing w:after="120"/>
      </w:pPr>
      <w:r>
        <w:t xml:space="preserve">Non aggiungiamo nuove regole.</w:t>
      </w:r>
    </w:p>
    <w:p>
      <w:pPr>
        <w:spacing w:after="120"/>
      </w:pPr>
      <w:r>
        <w:t xml:space="preserve">Le usiamo.</w:t>
      </w:r>
    </w:p>
    <w:p>
      <w:pPr>
        <w:spacing w:after="120"/>
      </w:pPr>
      <w:r>
        <w:t xml:space="preserve">Questo capitolo contiene esempi volutamente astratti. Non appartengono a un progetto reale e non descrivono un dominio specifico.</w:t>
      </w:r>
    </w:p>
    <w:p>
      <w:pPr>
        <w:spacing w:after="120"/>
      </w:pPr>
      <w:r>
        <w:t xml:space="preserve">Servono a mostrare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richieste molto diverse possono essere instradate attraverso la stessa architettura senza dover reinventare ogni volta il metodo.</w:t>
      </w:r>
    </w:p>
    <w:p>
      <w:pPr>
        <w:spacing w:after="120"/>
      </w:pPr>
      <w:r>
        <w:t xml:space="preserve">La forma che useremo è sempre la stessa: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INTERPRETAZIONE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 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/ CONTINUE</w:t>
      </w:r>
    </w:p>
    <w:p>
      <w:pPr>
        <w:spacing w:after="120"/>
      </w:pPr>
    </w:p>
    <w:p>
      <w:pPr>
        <w:spacing w:after="120"/>
      </w:pPr>
      <w:r>
        <w:t xml:space="preserve">Quando esiste una route machine-readable corrente, useremo quella esatta.</w:t>
      </w:r>
    </w:p>
    <w:p>
      <w:pPr>
        <w:spacing w:after="120"/>
      </w:pPr>
      <w:r>
        <w:t xml:space="preserve">Quando invece l'esempio richiede comprensione semantica prima di arrivare a un evento strutturato, distingueremo esplicitamente il reasoning dal mechanical enforcement.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15.1 Come leggere gli esempi</w:t>
      </w:r>
    </w:p>
    <w:p>
      <w:pPr>
        <w:spacing w:after="120"/>
      </w:pPr>
      <w:r>
        <w:t xml:space="preserve">Ogni scenario contiene sette passaggi.</w:t>
      </w:r>
    </w:p>
    <w:p>
      <w:pPr>
        <w:pStyle w:val="Heading3"/>
      </w:pPr>
      <w:r>
        <w:t xml:space="preserve">1. Request</w:t>
      </w:r>
    </w:p>
    <w:p>
      <w:pPr>
        <w:spacing w:after="120"/>
      </w:pPr>
      <w:r>
        <w:t xml:space="preserve">La richiesta iniziale, espressa in linguaggio naturale o come attivazione operativa.</w:t>
      </w:r>
    </w:p>
    <w:p>
      <w:pPr>
        <w:pStyle w:val="Heading3"/>
      </w:pPr>
      <w:r>
        <w:t xml:space="preserve">2. Interpretazione</w:t>
      </w:r>
    </w:p>
    <w:p>
      <w:pPr>
        <w:spacing w:after="120"/>
      </w:pPr>
      <w:r>
        <w:t xml:space="preserve">Che cosa sembra essere richiesto e quale classe di lavoro è coinvolta.</w:t>
      </w:r>
    </w:p>
    <w:p>
      <w:pPr>
        <w:pStyle w:val="Heading3"/>
      </w:pPr>
      <w:r>
        <w:t xml:space="preserve">3. Fact / Event</w:t>
      </w:r>
    </w:p>
    <w:p>
      <w:pPr>
        <w:spacing w:after="120"/>
      </w:pPr>
      <w:r>
        <w:t xml:space="preserve">Il fatto strutturato che, se disponibile, rende il routing più deterministico.</w:t>
      </w:r>
    </w:p>
    <w:p>
      <w:pPr>
        <w:pStyle w:val="Heading3"/>
      </w:pPr>
      <w:r>
        <w:t xml:space="preserve">4. Process / Protocol</w:t>
      </w:r>
    </w:p>
    <w:p>
      <w:pPr>
        <w:spacing w:after="120"/>
      </w:pPr>
      <w:r>
        <w:t xml:space="preserve">Le fonti procedurali minime applicabili.</w:t>
      </w:r>
    </w:p>
    <w:p>
      <w:pPr>
        <w:pStyle w:val="Heading3"/>
      </w:pPr>
      <w:r>
        <w:t xml:space="preserve">5. Guard</w:t>
      </w:r>
    </w:p>
    <w:p>
      <w:pPr>
        <w:spacing w:after="120"/>
      </w:pPr>
      <w:r>
        <w:t xml:space="preserve">La condizione che impedisce una prosecuzione non autorizzata o semanticamente sbagliata.</w:t>
      </w:r>
    </w:p>
    <w:p>
      <w:pPr>
        <w:pStyle w:val="Heading3"/>
      </w:pPr>
      <w:r>
        <w:t xml:space="preserve">6. Action</w:t>
      </w:r>
    </w:p>
    <w:p>
      <w:pPr>
        <w:spacing w:after="120"/>
      </w:pPr>
      <w:r>
        <w:t xml:space="preserve">La transizione consentita dalla route.</w:t>
      </w:r>
    </w:p>
    <w:p>
      <w:pPr>
        <w:pStyle w:val="Heading3"/>
      </w:pPr>
      <w:r>
        <w:t xml:space="preserve">7. Stop / Continue</w:t>
      </w:r>
    </w:p>
    <w:p>
      <w:pPr>
        <w:spacing w:after="120"/>
      </w:pPr>
      <w:r>
        <w:t xml:space="preserve">La vera condizione che decide se il workflow continua o si ferma.</w:t>
      </w:r>
    </w:p>
    <w:p>
      <w:pPr>
        <w:spacing w:after="120"/>
      </w:pPr>
      <w:r>
        <w:t xml:space="preserve">Questa struttura non pretende di sostituire ogni workflow WCM. È una lente pedagogica.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 Scenario A — «Continua da dove eri rimasto»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Da sola la frase è insufficiente. Non dice quale step ripetere, quale output produrre o dove fermarsi.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WCM verifica prima se esiste un workflow materiale incompleto.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WAKE_RESUME_REQUIRED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rieseguire gli step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authority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minimo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continuare solo fino alla vera stop condition.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dopo </w:t>
      </w:r>
      <w:r>
        <w:rPr>
          <w:rFonts w:ascii="Courier New" w:cs="Courier New" w:eastAsia="Courier New" w:hAnsi="Courier New"/>
        </w:rPr>
        <w:t xml:space="preserve">REVIEW</w:t>
      </w:r>
      <w:r>
        <w:t xml:space="preserve"> esiste una transizione successiva già autorizzata e non c'è true stop, continua. Se raggiunge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si ferma.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WORKFLOW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15.3 Scenario B — «Lo strumento non mi restituisce tutto»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contenuto completo e continua.»</w:t>
      </w:r>
    </w:p>
    <w:p>
      <w:pPr>
        <w:spacing w:after="120"/>
      </w:pPr>
      <w:r>
        <w:t xml:space="preserve">Durante l'esecuzione lo strumento restituisce un output limitato.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Il primo fallimento non dimostra che la capability sia assente.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la capability nella run corrente;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cercare una route diretta alternativa;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la continuità del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delegare solo se la route lo consente e serve davvero.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una modalità diretta alternativa recupera il contenuto, il workflow continua. Solo dopo evidence negativa sufficiente può emergere un vero technical stop.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ERRORE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15.4 Scenario C — «Non so se questo strumento può farlo»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«Esegui questa operazione con gli strumenti disponibili.»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CAPABILITY_UNVERIFIED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negative capability conclusion before current-run evidence check.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 / OPTIONAL → usa il service solo nel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 VERIFICATO → stop tecnico reale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15.5 Scenario D — «Lo stato non torna»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«Dimmi qual è il prossimo passo.»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UNKNOWN_OPERATIONAL_STATE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STRUCTURED-BEFORE-TEXT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FUZZY INFERENCE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FAIL_CLOSED</w:t>
      </w:r>
    </w:p>
    <w:p>
      <w:pPr>
        <w:spacing w:after="120"/>
      </w:pPr>
    </w:p>
    <w:p>
      <w:pPr>
        <w:spacing w:after="120"/>
      </w:pPr>
      <w:r>
        <w:t xml:space="preserve">Prima si applica la reconciliation deterministica prevista. Se produce uno stato valido, il routing può riprendere; altrimenti si ferma senza inventare il prossimo step.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15.6 Scenario E — «L'indice dice una cosa, la baseline un'altra»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MEMORY_OR_INDEX_DRIFT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usare acriticamente l'index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tentare reconciliation deterministica quando consentita;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delegare al repair meccanico un conflitto di significato.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15.7 Scenario F — «Hai modificato qualcosa di materiale: adesso cosa succede?»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AFTER_MATERIAL_DELTA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consolidare soltanto il delta organizzativamente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copiare indiscriminatamente la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riconciliare lo stato derivato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source-of-truth e projection separate.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15.8 Scenario G — «C'è una dipendenza interna che non è ancora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PROJECT BLOCKER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HUMAN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PERMISSION TO REPEAT COMPLETED WORK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WAIT_INTERNAL_RESOLUTION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15.9 Scenario H — «La dipendenza è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evidence persistita;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che l'output corrisponda alla dependency dichiarata;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riaprire gli step precedenti.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CONSUME_AND_CONTINUE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15.10 Scenario I — «Il pacchetto è pronto: fammi decidere»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BEFORE_BOARD_GATE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Il target di authority deve essere esatto; il sistema non può ampliare l'authority né scegliere al posto dell'owner.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WAIT_AUTHORITY</w:t>
      </w:r>
    </w:p>
    <w:p>
      <w:pPr>
        <w:spacing w:after="120"/>
      </w:pPr>
    </w:p>
    <w:p>
      <w:pPr>
        <w:spacing w:after="120"/>
      </w:pPr>
      <w:r>
        <w:t xml:space="preserve">Questa è una vera stop condition, non un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15.11 Scenario L — «Cambia questa regola»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DI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SCRIVERE IL CAMBIAMENTO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PRODUCI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Il sistema resta fermo finché l'owner non conferisce authority esplicita </w:t>
      </w:r>
      <w:r>
        <w:rPr>
          <w:b/>
          <w:bCs/>
        </w:rPr>
        <w:t xml:space="preserve">dopo</w:t>
      </w:r>
      <w:r>
        <w:t xml:space="preserve"> la classificazione del WCM CHANGE e la presentazione dell'Impact Preview.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15.12 Scenario M — «Aggiorna questo testo» senza cambiare il metodo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Una correzione puramente formale non è automaticamente un WCM CHANGE. È il significato materiale, non il semplice fatto di scrivere, a determinare la classificazione.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15.13 Scenario N — «La UI dice che è tutto completato»</w:t>
      </w:r>
    </w:p>
    <w:p>
      <w:pPr>
        <w:spacing w:after="120"/>
      </w:pPr>
      <w:r>
        <w:t xml:space="preserve">La domanda riguarda un execution fact. La UI è una presentation surface.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Guard: </w:t>
      </w:r>
      <w:r>
        <w:rPr>
          <w:rFonts w:ascii="Courier New" w:cs="Courier New" w:eastAsia="Courier New" w:hAnsi="Courier New"/>
        </w:rPr>
        <w:t xml:space="preserve">PRESENTATION ≠ EXECUTION MASTER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15.14 Scenario O — «Leggi tutto per essere sicuro»</w:t>
      </w: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Context Sufficiency Gate + Stop When Sufficient.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MINIME AUTOREVOLI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15.15 Scenario P — «Due fonti autorevoli dicono cose incompatibili»</w:t>
      </w:r>
    </w:p>
    <w:p>
      <w:pPr>
        <w:spacing w:after="120"/>
      </w:pPr>
      <w:r>
        <w:t xml:space="preserve">Prima di dichiarare conflitto reale, verifica scope, status, recency nel contesto corretto, supersession, source-of-truth vs projection e precedence specifica del tipo di fatto.</w:t>
      </w:r>
    </w:p>
    <w:p>
      <w:pPr>
        <w:spacing w:after="120"/>
      </w:pPr>
      <w:r>
        <w:t xml:space="preserve">Se il conflitto resta materiale: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 / ESCALATE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15.16 Cosa cambia tra gli scenari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QUAL È LA RICHIESTA?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 È IL FATTO OPERATIVO RILEVANTE?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ESISTE UNO STATO STRUTTURATO?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SOURCE PRECEDENCE?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È RUN O CHANGE?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QUALE PROCESSO GOVERNA IL FLUSSO?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QUALE PROTOCOLLO IMPONE LE GUARD?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ESISTE UNA ROUTE EXACT-MATCH?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QUALE CAPABILITY SERVE?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QUAL È LA TRUE STOP?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15.17 Domain-agnostic non significa context-free</w:t>
      </w:r>
    </w:p>
    <w:p>
      <w:pPr>
        <w:spacing w:after="120"/>
      </w:pPr>
      <w:r>
        <w:t xml:space="preserve">Il contenuto del dominio cambia; la grammatica organizzativa può restare simile.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15.18 Determinismo: dove arriva davvero</w:t>
      </w:r>
    </w:p>
    <w:p>
      <w:pPr>
        <w:spacing w:after="120"/>
      </w:pPr>
      <w:r>
        <w:t xml:space="preserve">Determinismo dove il significato è già stato formalizzato; reasoning controllato dove il significato deve ancora essere scoperto.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15.19 La tabella 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primaria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Guard chiave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Esito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interrotto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Resume Priority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duplicate work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output limit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Capability Evidence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first failure ≠ gap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RESOLVE_CAPABILITY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operativo ambiguo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 State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fuzzy inference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FAIL_CLOSED / 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knowledge/index drift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precedence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delta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Consolidation + State Reconciliation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 only material delta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pending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 ≠ project blocker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WAIT_INTERNAL_RESOLUTION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ready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verify lineage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CONSUME_AND_CONTINUE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 pronto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Command + Workflow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 authority target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WAIT_AUTHORITY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della baseline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Gate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write before explicit authority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 PREVIEW + STOP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non semantico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 RUN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meaning unchanged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+ VERIFY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tabella è una sintesi pedagogica, non un nuovo registry.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15.20 Cosa abbiamo ottenuto</w:t>
      </w:r>
    </w:p>
    <w:p>
      <w:pPr>
        <w:spacing w:after="120"/>
      </w:pPr>
      <w:r>
        <w:t xml:space="preserve">Con il Capitolo 15 si chiude il percorso iniziato nel Capitolo 9 e si prepara il Capitolo 16 — Come leggere un processo WCM.</w:t>
      </w:r>
    </w:p>
    <w:p>
      <w:pPr>
        <w:pStyle w:val="Heading1"/>
      </w:pPr>
      <w:r>
        <w:t xml:space="preserve">Source Map</w:t>
      </w:r>
    </w:p>
    <w:p>
      <w:pPr>
        <w:spacing w:after="120"/>
      </w:pPr>
      <w:r>
        <w:t xml:space="preserve">Fonti principali: </w:t>
      </w:r>
      <w:r>
        <w:rPr>
          <w:rFonts w:ascii="Courier New" w:cs="Courier New" w:eastAsia="Courier New" w:hAnsi="Courier New"/>
        </w:rPr>
        <w:t xml:space="preserve">WCM_AGENT_START.md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wcm/GOVERNANCE.md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PROTOCOL_ROUTING_REGISTRY.json</w:t>
      </w:r>
      <w:r>
        <w:t xml:space="preserve">, PROC-005/006/008/011, PROT-003/005/009/010/011/013/016/018.</w:t>
      </w: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Gli esempi descrivono la baseline WCM corrente e le route strutturate effettivamente presenti nel routing source al momento della stesura. Sono esempi pedagogici domain-agnostic, non dimostrazioni di validità universale. La field validation complessiva del modello continua.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15 — Esempi di routing domain-agnostic · FROZEN-15 · source 3829858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2026-08-29T21:29:40.774Z</dcterms:created>
  <dcterms:modified xsi:type="dcterms:W3CDTF">2026-08-29T21:29:40.774Z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