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42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427382">
        <w:rPr>
          <w:rFonts w:ascii="Times New Roman" w:hAnsi="Times New Roman" w:cs="Times New Roman"/>
          <w:b/>
          <w:sz w:val="52"/>
          <w:szCs w:val="52"/>
          <w:lang w:val="uk-UA"/>
        </w:rPr>
        <w:t>Рекомендації по лікуванню при ХЗН у кішок</w:t>
      </w: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Все лікування при ХЗН повинно спрямовуватись на потреби конкретного  пацієнта. Всі рекомендації по лікуванню діляться на дві категорії.</w:t>
      </w:r>
    </w:p>
    <w:p w:rsidR="005D6E14" w:rsidRPr="00427382" w:rsidRDefault="005D6E14" w:rsidP="004F53FE">
      <w:pPr>
        <w:pStyle w:val="a3"/>
        <w:numPr>
          <w:ilvl w:val="0"/>
          <w:numId w:val="1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Ті яка спрямовані на сповільнення прогресії ХЗН. Для збереження остаточної функції нирок на більш тривалий період.</w:t>
      </w:r>
    </w:p>
    <w:p w:rsidR="005D6E14" w:rsidRPr="00427382" w:rsidRDefault="005D6E14" w:rsidP="004F53FE">
      <w:pPr>
        <w:pStyle w:val="a3"/>
        <w:numPr>
          <w:ilvl w:val="0"/>
          <w:numId w:val="1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Ті які спрямовані на якість життя кішки та на корекцію симптомів. </w:t>
      </w: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В цілому на ранніх стадіях, коли клінічних ознак не так багато, увага концентрується на сповільнення прогресії ХЗН. Починаючи з третьої стадії коли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екстраренальні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симптоми стають більш частими та біль вираженими. Увагу варто спрямувати на полегшення симптомів та на покращення якості життя, ніж на сповільнення. </w:t>
      </w: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Стадія І </w:t>
      </w:r>
    </w:p>
    <w:p w:rsidR="005D6E14" w:rsidRPr="00427382" w:rsidRDefault="005D6E14" w:rsidP="004F53FE">
      <w:pPr>
        <w:pStyle w:val="a3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Не використовувати або відмінити всі потенційні нефрон токсичні препарати ( якщо можливо).</w:t>
      </w:r>
    </w:p>
    <w:p w:rsidR="005D6E14" w:rsidRPr="00427382" w:rsidRDefault="005D6E14" w:rsidP="004F53FE">
      <w:pPr>
        <w:pStyle w:val="a3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Виявити та вилікувати усі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преренальні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постренальні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порушення</w:t>
      </w:r>
    </w:p>
    <w:p w:rsidR="005D6E14" w:rsidRPr="00427382" w:rsidRDefault="005D6E14" w:rsidP="004F53FE">
      <w:pPr>
        <w:pStyle w:val="a3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Виключити все потенційно виліковні кондиції  - наприклад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піелонефріт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( всі бактеріальні інфекції сечовивідних шляхів  повинні сприйматись потенційно як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пїєлонефріт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та лікуватися згідно цьому)</w:t>
      </w:r>
    </w:p>
    <w:p w:rsidR="005D6E14" w:rsidRPr="00427382" w:rsidRDefault="005D6E14" w:rsidP="004F53FE">
      <w:pPr>
        <w:pStyle w:val="a3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Вимірювати артеріальний тиск та співвідношення білок\креатинін.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>Контроль дегідратації :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цих пацієнтів концентраційна здатність нирок знижена і тому : </w:t>
      </w:r>
    </w:p>
    <w:p w:rsidR="003F099F" w:rsidRPr="00427382" w:rsidRDefault="003F099F" w:rsidP="004F53FE">
      <w:pPr>
        <w:pStyle w:val="a3"/>
        <w:numPr>
          <w:ilvl w:val="0"/>
          <w:numId w:val="4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Коректуйте клінічну дегідратацію/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гіповолемію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ізотонічним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полііонним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розчином, наприклад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лактатним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рінгером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в/в або п/ш </w:t>
      </w:r>
    </w:p>
    <w:p w:rsidR="003F099F" w:rsidRPr="00427382" w:rsidRDefault="003F099F" w:rsidP="004F53FE">
      <w:pPr>
        <w:pStyle w:val="a3"/>
        <w:numPr>
          <w:ilvl w:val="0"/>
          <w:numId w:val="4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Забезпечити постійний доступ до свіжої води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>Контроль артеріальної гіпертензії</w:t>
      </w: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Наша ціль знизити артеріальний тиск нижче 160 для запобігання ураження органів – мішеней.</w:t>
      </w:r>
    </w:p>
    <w:p w:rsidR="005D6E14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артеріальної гіпертензії повинна бути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підтвердженна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багатократними 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>вимірюваннями АД в різні візити</w:t>
      </w:r>
    </w:p>
    <w:p w:rsidR="004B6580" w:rsidRPr="00427382" w:rsidRDefault="005D6E14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Але якщо присутні ознаки уражень органів – мішеней,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 ураження очей –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гіфема</w:t>
      </w:r>
      <w:proofErr w:type="spellEnd"/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крововвиливи</w:t>
      </w:r>
      <w:proofErr w:type="spellEnd"/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сетківку</w:t>
      </w:r>
      <w:proofErr w:type="spellEnd"/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ока, або нервові розлади)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пацієнти</w:t>
      </w:r>
      <w:r w:rsidR="004B6580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повинні лікуватися без багаторазового вимірювання тиску.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>Лікування артеріальної гіпертензії:</w:t>
      </w:r>
    </w:p>
    <w:p w:rsidR="004B6580" w:rsidRPr="00427382" w:rsidRDefault="004B6580" w:rsidP="004F53FE">
      <w:pPr>
        <w:pStyle w:val="a3"/>
        <w:numPr>
          <w:ilvl w:val="0"/>
          <w:numId w:val="3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Блокатори кальцієвих каналів –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амлодіпін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  0,125 – 0,25мг /кг раз на добу.</w:t>
      </w:r>
    </w:p>
    <w:p w:rsidR="004B6580" w:rsidRPr="00427382" w:rsidRDefault="004B6580" w:rsidP="004F53FE">
      <w:pPr>
        <w:pStyle w:val="a3"/>
        <w:numPr>
          <w:ilvl w:val="0"/>
          <w:numId w:val="3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Якщо не досягнуто необхідного ефекту, то дозу подвоїти.</w:t>
      </w:r>
    </w:p>
    <w:p w:rsidR="004B6580" w:rsidRPr="00427382" w:rsidRDefault="004B6580" w:rsidP="004F53FE">
      <w:pPr>
        <w:pStyle w:val="a3"/>
        <w:numPr>
          <w:ilvl w:val="0"/>
          <w:numId w:val="3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Якщо  не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допогли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пункти 1 і 2, то  комбінуємо інгібітор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ренін-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ангіотензін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альдостеронової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системи (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еналаприл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), або блокатор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ангіотензінових</w:t>
      </w:r>
      <w:proofErr w:type="spellEnd"/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 рецепторів (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лміс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тран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амлодіпін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відповіді на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антигіпертензивну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терапію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Кішки з гіпе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 xml:space="preserve">ртензією звичайно потребують </w:t>
      </w:r>
      <w:proofErr w:type="spellStart"/>
      <w:r w:rsidR="00427382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життєвої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терапії, і можуть потребувати корекції лікування. Необхідний серійний моніторинг артеріального тиску.   Після стабілізації – моніторинг мінімум раз у три місяці. 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Систолічний артеріальний тиск менше 120мм/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рт.ст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 та/або такі клінічні ознаки як слабкість, тахікардія вказують на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гипотензію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, чого потрібно уникати.</w:t>
      </w:r>
    </w:p>
    <w:p w:rsidR="004B6580" w:rsidRPr="00427382" w:rsidRDefault="004B6580" w:rsidP="004F53FE">
      <w:pPr>
        <w:pStyle w:val="1"/>
        <w:spacing w:line="360" w:lineRule="auto"/>
        <w:ind w:left="708"/>
        <w:rPr>
          <w:rFonts w:ascii="Times New Roman" w:hAnsi="Times New Roman" w:cs="Times New Roman"/>
          <w:color w:val="auto"/>
          <w:lang w:val="uk-UA"/>
        </w:rPr>
      </w:pPr>
      <w:r w:rsidRPr="00427382">
        <w:rPr>
          <w:lang w:val="uk-UA"/>
        </w:rPr>
        <w:t xml:space="preserve">       </w:t>
      </w:r>
      <w:r w:rsidRPr="00427382">
        <w:rPr>
          <w:rFonts w:ascii="Times New Roman" w:hAnsi="Times New Roman" w:cs="Times New Roman"/>
          <w:color w:val="auto"/>
          <w:lang w:val="uk-UA"/>
        </w:rPr>
        <w:t xml:space="preserve">Зниження артеріального тиску може призводити до невеликого постійного збільшення концентрації креатині ( збільшення до 45 </w:t>
      </w:r>
      <w:proofErr w:type="spellStart"/>
      <w:r w:rsidRPr="00427382">
        <w:rPr>
          <w:rFonts w:ascii="Times New Roman" w:hAnsi="Times New Roman" w:cs="Times New Roman"/>
          <w:color w:val="auto"/>
          <w:lang w:val="uk-UA"/>
        </w:rPr>
        <w:t>Ммол</w:t>
      </w:r>
      <w:proofErr w:type="spellEnd"/>
      <w:r w:rsidRPr="00427382">
        <w:rPr>
          <w:rFonts w:ascii="Times New Roman" w:hAnsi="Times New Roman" w:cs="Times New Roman"/>
          <w:color w:val="auto"/>
          <w:lang w:val="uk-UA"/>
        </w:rPr>
        <w:t xml:space="preserve"> /л) .  Але значне з</w:t>
      </w:r>
      <w:r w:rsidR="00427382">
        <w:rPr>
          <w:rFonts w:ascii="Times New Roman" w:hAnsi="Times New Roman" w:cs="Times New Roman"/>
          <w:color w:val="auto"/>
          <w:lang w:val="uk-UA"/>
        </w:rPr>
        <w:t>більшення концентрації креатині</w:t>
      </w:r>
      <w:r w:rsidRPr="00427382">
        <w:rPr>
          <w:rFonts w:ascii="Times New Roman" w:hAnsi="Times New Roman" w:cs="Times New Roman"/>
          <w:color w:val="auto"/>
          <w:lang w:val="uk-UA"/>
        </w:rPr>
        <w:t>ну трактуєтьс</w:t>
      </w:r>
      <w:r w:rsidR="00427382">
        <w:rPr>
          <w:rFonts w:ascii="Times New Roman" w:hAnsi="Times New Roman" w:cs="Times New Roman"/>
          <w:color w:val="auto"/>
          <w:lang w:val="uk-UA"/>
        </w:rPr>
        <w:t xml:space="preserve">я як побічна реакція препаратів </w:t>
      </w:r>
      <w:proofErr w:type="spellStart"/>
      <w:r w:rsidR="00427382">
        <w:rPr>
          <w:rFonts w:ascii="Times New Roman" w:hAnsi="Times New Roman" w:cs="Times New Roman"/>
          <w:color w:val="auto"/>
          <w:lang w:val="uk-UA"/>
        </w:rPr>
        <w:t>аабо</w:t>
      </w:r>
      <w:proofErr w:type="spellEnd"/>
      <w:r w:rsidR="00427382">
        <w:rPr>
          <w:rFonts w:ascii="Times New Roman" w:hAnsi="Times New Roman" w:cs="Times New Roman"/>
          <w:color w:val="auto"/>
          <w:lang w:val="uk-UA"/>
        </w:rPr>
        <w:t xml:space="preserve"> прогресуюче погіршення ниркових функцій</w:t>
      </w:r>
      <w:r w:rsidRPr="00427382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738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Протеїнурія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Кішки на перший стадії з співвідношенням білок- креатинін більше 0,4  -  повинні бути обстеженні на захворювання які можуть викликати протеїнурію. Протеїнурія повинна лікуватися ( див пункт 3,4 нижче)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>Тварини з пограничною протеїнурією (0,2-0,4) потребують ретельного моніторингу.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1, взяти під контроль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корнкуруючи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та супутні хвороби які можна вилікувати або контролювати.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2. обдумати біопсію нирок для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виявленя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основної причини хворобі.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3. застосовуйте інгібітори </w:t>
      </w:r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ренін-</w:t>
      </w:r>
      <w:proofErr w:type="spellStart"/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ангіотензін</w:t>
      </w:r>
      <w:proofErr w:type="spellEnd"/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альдостеронової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система (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еналапріл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телмісатран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Лікувальна </w:t>
      </w:r>
      <w:proofErr w:type="spellStart"/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ренальна</w:t>
      </w:r>
      <w:proofErr w:type="spellEnd"/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дієта.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4. Моніторинг відповіді на терапію та прогресу</w:t>
      </w:r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вання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захворювання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27382" w:rsidRPr="00427382">
        <w:rPr>
          <w:rFonts w:ascii="Times New Roman" w:hAnsi="Times New Roman" w:cs="Times New Roman"/>
          <w:sz w:val="28"/>
          <w:szCs w:val="28"/>
          <w:lang w:val="uk-UA"/>
        </w:rPr>
        <w:t>стабільна концентрації креатині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ну  та зменшення співвідношення білок-креатинін =гарна відповідь на терапію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- збільшення концентрації креатину в серії проб або збільшення співвідношення =хвороба прогресує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Зазвичай терапія по життєва.</w:t>
      </w:r>
    </w:p>
    <w:p w:rsidR="00427382" w:rsidRDefault="00427382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7382" w:rsidRDefault="00427382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27382">
        <w:rPr>
          <w:rFonts w:ascii="Times New Roman" w:hAnsi="Times New Roman" w:cs="Times New Roman"/>
          <w:b/>
          <w:sz w:val="36"/>
          <w:szCs w:val="36"/>
          <w:lang w:val="uk-UA"/>
        </w:rPr>
        <w:t>Увага!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інгібіторів ренін-</w:t>
      </w:r>
      <w:proofErr w:type="spellStart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ангіотензін</w:t>
      </w:r>
      <w:proofErr w:type="spellEnd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proofErr w:type="spellStart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альдостеронової</w:t>
      </w:r>
      <w:proofErr w:type="spellEnd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истеми тваринам які клінічно </w:t>
      </w:r>
      <w:proofErr w:type="spellStart"/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де</w:t>
      </w: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гідратовані</w:t>
      </w:r>
      <w:proofErr w:type="spellEnd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або мають ознаки </w:t>
      </w:r>
      <w:proofErr w:type="spellStart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гіповолемії</w:t>
      </w:r>
      <w:proofErr w:type="spellEnd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протипоказано. 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Потрібна к</w:t>
      </w: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орекція дегідратації перед призначенням пре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паратів.  Інакше швидкість </w:t>
      </w:r>
      <w:proofErr w:type="spellStart"/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клуб</w:t>
      </w: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очкової</w:t>
      </w:r>
      <w:proofErr w:type="spellEnd"/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фільтрації  може значно 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 різко </w:t>
      </w: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знизитись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Б) коти з протеїнурією та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гіпоальбунемією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мать такі ж самі ризики виникнення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тромбоемболії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як і собаки. Якщо альбумін нижче 20г/л використовують аспірин 1мг/кг кожні 72 год</w:t>
      </w:r>
    </w:p>
    <w:p w:rsidR="004B6580" w:rsidRPr="00427382" w:rsidRDefault="004B6580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В) </w:t>
      </w:r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коти концентрація фосфору в сироватці в межах рекомендованих ІРІС ( 0,9-1,5) мають підвищений ризик розвитку </w:t>
      </w:r>
      <w:proofErr w:type="spellStart"/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гіперкальціємії</w:t>
      </w:r>
      <w:proofErr w:type="spellEnd"/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в момент переводу на </w:t>
      </w:r>
      <w:proofErr w:type="spellStart"/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ре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альну</w:t>
      </w:r>
      <w:proofErr w:type="spellEnd"/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дієту. </w:t>
      </w:r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Потрібен </w:t>
      </w:r>
      <w:proofErr w:type="spellStart"/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моніторінг</w:t>
      </w:r>
      <w:proofErr w:type="spellEnd"/>
      <w:r w:rsidR="00427382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концентрації</w:t>
      </w:r>
      <w:r w:rsidR="003F099F" w:rsidRPr="004273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кальцію і якщо кальцій перевищує 3Ммоль/л переведіть кішку на дієту для котів старшого віку. Або мішайте дієту з звичайною їжею 50 на 50.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Г) Якщо постійно присутня погранична протеїнурія то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антипротеїнурічне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лікуваня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повине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розпочатися. Тому  що залежність між прогресуванням ХЗН та протеїнурії включає в себе пограничну категорію.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lang w:val="uk-UA"/>
        </w:rPr>
        <w:t>Стадія 2</w:t>
      </w:r>
    </w:p>
    <w:p w:rsidR="003F099F" w:rsidRPr="00427382" w:rsidRDefault="003F099F" w:rsidP="004F53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Все що написано для стадії 1 плюс декілька пунктів</w:t>
      </w:r>
    </w:p>
    <w:p w:rsidR="004B6580" w:rsidRPr="00427382" w:rsidRDefault="003F099F" w:rsidP="004F53FE">
      <w:pPr>
        <w:pStyle w:val="a3"/>
        <w:numPr>
          <w:ilvl w:val="0"/>
          <w:numId w:val="5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Перехід на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ренальну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дієту так як це легше зробити на більш ранній стадії хвороби</w:t>
      </w:r>
      <w:r w:rsidR="004B6580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099F" w:rsidRPr="00427382" w:rsidRDefault="003F099F" w:rsidP="004F53FE">
      <w:pPr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Зменшенн</w:t>
      </w:r>
      <w:r w:rsid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я</w:t>
      </w:r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вживаня</w:t>
      </w:r>
      <w:proofErr w:type="spellEnd"/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фосфору</w:t>
      </w:r>
    </w:p>
    <w:p w:rsidR="003F099F" w:rsidRPr="00427382" w:rsidRDefault="003F099F" w:rsidP="004F53F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Баг</w:t>
      </w:r>
      <w:r w:rsidR="00427382">
        <w:rPr>
          <w:rFonts w:ascii="Times New Roman" w:hAnsi="Times New Roman" w:cs="Times New Roman"/>
          <w:sz w:val="28"/>
          <w:szCs w:val="28"/>
          <w:lang w:val="uk-UA"/>
        </w:rPr>
        <w:t>ато тварин на другій стадії будуть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мати нормальну концентрацію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фосфора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, але збільшену концентрацію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паратероїдного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гормону (ПТГ) . Докази свідчать що постійне зменшення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вживаня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фосфору для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підтриманя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фосфору в сироватці крові </w:t>
      </w:r>
      <w:r w:rsidRPr="00427382">
        <w:rPr>
          <w:rFonts w:ascii="Times New Roman" w:hAnsi="Times New Roman" w:cs="Times New Roman"/>
          <w:b/>
          <w:sz w:val="36"/>
          <w:szCs w:val="36"/>
          <w:lang w:val="uk-UA"/>
        </w:rPr>
        <w:t>нижче 1,5ммоль/л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впливае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на прогноз та прогресування захворювання.</w:t>
      </w:r>
    </w:p>
    <w:p w:rsidR="003F099F" w:rsidRPr="00427382" w:rsidRDefault="004F53FE" w:rsidP="004F53FE">
      <w:pPr>
        <w:pStyle w:val="a3"/>
        <w:numPr>
          <w:ilvl w:val="0"/>
          <w:numId w:val="5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3F099F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бмеження фосфору в дієті ( наприклад лікувальні ниркові дієти) </w:t>
      </w:r>
    </w:p>
    <w:p w:rsidR="004F53FE" w:rsidRDefault="003F099F" w:rsidP="004F53FE">
      <w:pPr>
        <w:pStyle w:val="a3"/>
        <w:numPr>
          <w:ilvl w:val="0"/>
          <w:numId w:val="5"/>
        </w:numPr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Якщо концентрація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фосфора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залишається більше за 1,5ммоль/л після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лікувальної дієти потрібно використовувати кишкові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звязувачі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фосфору тобто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баіндерів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( такі як гідроксид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алюмінія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, карбонат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алюмінія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кальція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карбонат, ацетат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кальція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, карбонат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лантаніума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) до ефекту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(до досягнення цільової мети)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, починаючи з 30-60мл/кг на добу розділена з кожним прийомом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харчуваня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F53FE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Моніторити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концентрацію фосфору та кальцію в сироватці крові кожних 4-6 тижнів до стабілізації, потім кожні 12 тижнів після стабілізації. </w:t>
      </w:r>
    </w:p>
    <w:p w:rsidR="003F099F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Мікроцитоз та\або загальна слабкість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мязів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може свідчити про інтоксикацію алюмінієм при використані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алюміневих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баіндерів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-  перейти на використання інших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баіндерів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якщо виникла така ситуація.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Гіперкальцимію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також потрібно уникати, комбінація алюмінієвих та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кальційових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баіндерів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потрібна в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деяки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випадках.</w:t>
      </w:r>
    </w:p>
    <w:p w:rsidR="004F53FE" w:rsidRPr="00427382" w:rsidRDefault="004F53F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Метоболічний</w:t>
      </w:r>
      <w:proofErr w:type="spellEnd"/>
      <w:r w:rsidRPr="0042738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ацидоз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Якщо присутній метаболічний ацидоз 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(СЩ2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меньше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за 16ммоль\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застосовуйте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бікарбонат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натрія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переорально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( або калію цитрат якщо пацієнт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гіпокаліємічний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)до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ефекта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підтриманя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бікарбонатів крові / загального СО2 в межах 16-24ммоль/л. 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3F099F" w:rsidRPr="004F53FE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Додаткові рекомендації для пацієнтів стадії 2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Якщо пацієнт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має 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гіпокаліемію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то калію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глюканат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і калію ц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>итрат потрібно давати до  досягнення нормальної концентрації калію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( звичайно 1-2ммоль/кг/добу.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099F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Пацієнт стадія 3 </w:t>
      </w:r>
    </w:p>
    <w:p w:rsidR="004F53FE" w:rsidRPr="004F53FE" w:rsidRDefault="004F53F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3FE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Стан тварин на стадії 3 може досить широко варіюватись- від повної відсутності клінічних ознак до виражених екстра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клінічних ознак. </w:t>
      </w:r>
    </w:p>
    <w:p w:rsidR="00A4545E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Головні цілі лікування як і у стадії 1,2 направлені на сповільнення прогресування ХЗН можуть бути єдиною терапією для тварин у яких відсутні або слабко виражені екстра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ренальні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ознаки. Але лікування направлене на покращення якості життя стає більш важливим коли більше екстра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ренальних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ознак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зявляється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. Це включає лікування направлене</w:t>
      </w:r>
      <w:r w:rsidR="00A4545E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на корекцію дегідратації </w:t>
      </w:r>
      <w:proofErr w:type="spellStart"/>
      <w:r w:rsidR="00A4545E" w:rsidRPr="00427382">
        <w:rPr>
          <w:rFonts w:ascii="Times New Roman" w:hAnsi="Times New Roman" w:cs="Times New Roman"/>
          <w:sz w:val="28"/>
          <w:szCs w:val="28"/>
          <w:lang w:val="uk-UA"/>
        </w:rPr>
        <w:t>тошноти</w:t>
      </w:r>
      <w:proofErr w:type="spellEnd"/>
      <w:r w:rsidR="00A4545E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545E" w:rsidRPr="00427382">
        <w:rPr>
          <w:rFonts w:ascii="Times New Roman" w:hAnsi="Times New Roman" w:cs="Times New Roman"/>
          <w:sz w:val="28"/>
          <w:szCs w:val="28"/>
          <w:lang w:val="uk-UA"/>
        </w:rPr>
        <w:t>рвоти</w:t>
      </w:r>
      <w:proofErr w:type="spellEnd"/>
      <w:r w:rsidR="00A4545E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анемії і ацидозу .</w:t>
      </w:r>
    </w:p>
    <w:p w:rsidR="00A4545E" w:rsidRPr="00427382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Лікування включає в себе таке як у стадії 1 та 2 та декілька додаткових рекомендацій.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3F099F" w:rsidRPr="00427382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F099F" w:rsidRPr="004F53FE" w:rsidRDefault="003F099F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545E" w:rsidRPr="004F53FE">
        <w:rPr>
          <w:rFonts w:ascii="Times New Roman" w:hAnsi="Times New Roman" w:cs="Times New Roman"/>
          <w:b/>
          <w:sz w:val="28"/>
          <w:szCs w:val="28"/>
          <w:lang w:val="uk-UA"/>
        </w:rPr>
        <w:t>Додаткові рекомендації для стадії 3</w:t>
      </w:r>
    </w:p>
    <w:p w:rsidR="00A4545E" w:rsidRPr="00427382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1 Лікуйте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рвоту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/ знижений апетит /нудота /втрату ваги за допомого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антиеметіків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та стимуляторів апетиту( такі як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маропіт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>ант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серенія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ондансетрон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мірта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запі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). Є докази що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ртозапін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( 1.88мл на кота кожні 48 год протягом 3 тижнів) 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зменшує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рвоту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>, покращує апетит та веде до набору ваги у котів на цій стадії.</w:t>
      </w:r>
    </w:p>
    <w:p w:rsidR="00A4545E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Застосовуйте розчини </w:t>
      </w:r>
      <w:proofErr w:type="spellStart"/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>парентерально</w:t>
      </w:r>
      <w:proofErr w:type="spellEnd"/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контролю гідратації.</w:t>
      </w:r>
      <w:r w:rsid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(п\ш або в\в)</w:t>
      </w:r>
    </w:p>
    <w:p w:rsidR="004F53FE" w:rsidRPr="004F53FE" w:rsidRDefault="004F53F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545E" w:rsidRPr="004F53FE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Лікарські засоби у яких шлях елімінації з організму переважно через нирки , потрібно застосовувати з обережністю у пацієнтів з 3 стадією ХЗН. Може бути необхідним зменшення дози для </w:t>
      </w:r>
      <w:proofErr w:type="spellStart"/>
      <w:r w:rsidRPr="004F53FE">
        <w:rPr>
          <w:rFonts w:ascii="Times New Roman" w:hAnsi="Times New Roman" w:cs="Times New Roman"/>
          <w:i/>
          <w:sz w:val="28"/>
          <w:szCs w:val="28"/>
          <w:lang w:val="uk-UA"/>
        </w:rPr>
        <w:t>запобіганя</w:t>
      </w:r>
      <w:proofErr w:type="spellEnd"/>
      <w:r w:rsidRPr="004F53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акумуляції в організмі.</w:t>
      </w:r>
    </w:p>
    <w:p w:rsidR="00A4545E" w:rsidRPr="00427382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545E" w:rsidRPr="00427382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45E" w:rsidRPr="004F53FE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Стадія 4 </w:t>
      </w:r>
    </w:p>
    <w:p w:rsidR="00525494" w:rsidRDefault="00A4545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тварин на цій стадії мають багато екстра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ренальних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клінічних проявів . Незважаючи на те що лікування направлене на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уповільненя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прогресуваня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ХЗН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як і на інших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стадіяї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, на цій стадії  більш важливо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покращеня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якісті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життя , що включає корекцію дегідратації</w:t>
      </w:r>
      <w:r w:rsidR="00525494" w:rsidRPr="004273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25494" w:rsidRPr="00427382">
        <w:rPr>
          <w:rFonts w:ascii="Times New Roman" w:hAnsi="Times New Roman" w:cs="Times New Roman"/>
          <w:sz w:val="28"/>
          <w:szCs w:val="28"/>
          <w:lang w:val="uk-UA"/>
        </w:rPr>
        <w:t>цидоза</w:t>
      </w:r>
      <w:proofErr w:type="spellEnd"/>
      <w:r w:rsidR="00525494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25494" w:rsidRPr="00427382">
        <w:rPr>
          <w:rFonts w:ascii="Times New Roman" w:hAnsi="Times New Roman" w:cs="Times New Roman"/>
          <w:sz w:val="28"/>
          <w:szCs w:val="28"/>
          <w:lang w:val="uk-UA"/>
        </w:rPr>
        <w:t>рвоти</w:t>
      </w:r>
      <w:proofErr w:type="spellEnd"/>
      <w:r w:rsidR="00525494"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і анемії. Лікування включає вище сказане (1,2,3) та деякі доповнення. </w:t>
      </w:r>
    </w:p>
    <w:p w:rsidR="004F53FE" w:rsidRPr="00427382" w:rsidRDefault="004F53FE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494" w:rsidRPr="004F53FE" w:rsidRDefault="00525494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3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Додаткові рекомендації для пацієнтів 4-ї стадії :</w:t>
      </w:r>
    </w:p>
    <w:p w:rsidR="00525494" w:rsidRPr="00427382" w:rsidRDefault="00525494" w:rsidP="004F53FE">
      <w:pPr>
        <w:pStyle w:val="a3"/>
        <w:numPr>
          <w:ilvl w:val="0"/>
          <w:numId w:val="6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Діапазони фосфору складають 0,9-1,5, але більш реалістичною є діапазон нижче 1,9</w:t>
      </w:r>
      <w:bookmarkStart w:id="0" w:name="_GoBack"/>
      <w:bookmarkEnd w:id="0"/>
    </w:p>
    <w:p w:rsidR="00525494" w:rsidRPr="00427382" w:rsidRDefault="00525494" w:rsidP="004F53FE">
      <w:pPr>
        <w:pStyle w:val="a3"/>
        <w:numPr>
          <w:ilvl w:val="0"/>
          <w:numId w:val="6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>Більш посилена увага до запобігання дегідратації</w:t>
      </w:r>
    </w:p>
    <w:p w:rsidR="00525494" w:rsidRPr="00427382" w:rsidRDefault="00525494" w:rsidP="004F53FE">
      <w:pPr>
        <w:pStyle w:val="a3"/>
        <w:numPr>
          <w:ilvl w:val="0"/>
          <w:numId w:val="6"/>
        </w:numPr>
        <w:spacing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Більш зусиль для запобігання недостатності білка та калорій в раціоні. Обдумати доцільність застосування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єзофагостоми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F53FE">
        <w:rPr>
          <w:rFonts w:ascii="Times New Roman" w:hAnsi="Times New Roman" w:cs="Times New Roman"/>
          <w:sz w:val="28"/>
          <w:szCs w:val="28"/>
          <w:lang w:val="uk-UA"/>
        </w:rPr>
        <w:t>єзофагостому</w:t>
      </w:r>
      <w:proofErr w:type="spellEnd"/>
      <w:r w:rsidR="004F53FE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використовувати для запобігання дегідратації)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545E" w:rsidRPr="004F53FE" w:rsidRDefault="00525494" w:rsidP="004F53FE">
      <w:pPr>
        <w:pStyle w:val="a3"/>
        <w:numPr>
          <w:ilvl w:val="0"/>
          <w:numId w:val="6"/>
        </w:numPr>
        <w:spacing w:line="360" w:lineRule="auto"/>
        <w:ind w:left="178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Лікування анемії якщо вона знижує якість життя – зазвичай при гематокриті нижче 20. Людський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рекомбінантний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7382">
        <w:rPr>
          <w:rFonts w:ascii="Times New Roman" w:hAnsi="Times New Roman" w:cs="Times New Roman"/>
          <w:sz w:val="28"/>
          <w:szCs w:val="28"/>
          <w:lang w:val="uk-UA"/>
        </w:rPr>
        <w:t>еритропоєтин</w:t>
      </w:r>
      <w:proofErr w:type="spellEnd"/>
      <w:r w:rsidRPr="00427382">
        <w:rPr>
          <w:rFonts w:ascii="Times New Roman" w:hAnsi="Times New Roman" w:cs="Times New Roman"/>
          <w:sz w:val="28"/>
          <w:szCs w:val="28"/>
          <w:lang w:val="uk-UA"/>
        </w:rPr>
        <w:t xml:space="preserve"> є найбільш ефективним в лікуванні, але не </w:t>
      </w:r>
      <w:r w:rsidRPr="004273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затверджений для ветеринарного застосування:  </w:t>
      </w:r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краще використовувати </w:t>
      </w:r>
      <w:proofErr w:type="spellStart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>Дарбопоетин</w:t>
      </w:r>
      <w:proofErr w:type="spellEnd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proofErr w:type="spellStart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>Аранесп</w:t>
      </w:r>
      <w:proofErr w:type="spellEnd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)  так як він має менший антигенний вплив (менше ризик виникнення антитіл до </w:t>
      </w:r>
      <w:proofErr w:type="spellStart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>еритропоетину</w:t>
      </w:r>
      <w:proofErr w:type="spellEnd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) ніж у </w:t>
      </w:r>
      <w:proofErr w:type="spellStart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>еретропоетину</w:t>
      </w:r>
      <w:proofErr w:type="spellEnd"/>
      <w:r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–альфа. </w:t>
      </w:r>
      <w:r w:rsidR="00A4545E" w:rsidRPr="004F53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25494" w:rsidRPr="00427382" w:rsidRDefault="00525494" w:rsidP="004F53F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5494" w:rsidRPr="00427382" w:rsidSect="00DD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046"/>
    <w:multiLevelType w:val="hybridMultilevel"/>
    <w:tmpl w:val="B2CE32B2"/>
    <w:lvl w:ilvl="0" w:tplc="FA702E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A19"/>
    <w:multiLevelType w:val="hybridMultilevel"/>
    <w:tmpl w:val="E4B82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395E"/>
    <w:multiLevelType w:val="hybridMultilevel"/>
    <w:tmpl w:val="B7361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21D76"/>
    <w:multiLevelType w:val="hybridMultilevel"/>
    <w:tmpl w:val="F2426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8C9"/>
    <w:multiLevelType w:val="hybridMultilevel"/>
    <w:tmpl w:val="EC062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C6138"/>
    <w:multiLevelType w:val="hybridMultilevel"/>
    <w:tmpl w:val="B1BCFA58"/>
    <w:lvl w:ilvl="0" w:tplc="6C3CB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6E14"/>
    <w:rsid w:val="003F099F"/>
    <w:rsid w:val="00427382"/>
    <w:rsid w:val="004B6580"/>
    <w:rsid w:val="004F53FE"/>
    <w:rsid w:val="00525494"/>
    <w:rsid w:val="005D6E14"/>
    <w:rsid w:val="00751B8D"/>
    <w:rsid w:val="00A4545E"/>
    <w:rsid w:val="00D76DD5"/>
    <w:rsid w:val="00D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716D"/>
  <w15:docId w15:val="{6DA8E642-3881-41E8-9C96-B427E9D3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242"/>
  </w:style>
  <w:style w:type="paragraph" w:styleId="1">
    <w:name w:val="heading 1"/>
    <w:basedOn w:val="a"/>
    <w:next w:val="a"/>
    <w:link w:val="10"/>
    <w:uiPriority w:val="9"/>
    <w:qFormat/>
    <w:rsid w:val="004B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427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2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4273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8581</TotalTime>
  <Pages>8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drug</dc:creator>
  <cp:lastModifiedBy>Пользователь</cp:lastModifiedBy>
  <cp:revision>2</cp:revision>
  <dcterms:created xsi:type="dcterms:W3CDTF">2018-09-05T16:18:00Z</dcterms:created>
  <dcterms:modified xsi:type="dcterms:W3CDTF">2018-09-11T15:40:00Z</dcterms:modified>
</cp:coreProperties>
</file>