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 w:val="0"/>
          <w:sz w:val="20"/>
        </w:rPr>
        <w:t>__________________________________________________________________________________________</w:t>
      </w:r>
    </w:p>
    <w:p>
      <w:pPr>
        <w:spacing w:before="40" w:after="40"/>
        <w:jc w:val="left"/>
      </w:pPr>
      <w:r>
        <w:rPr>
          <w:b w:val="0"/>
          <w:sz w:val="20"/>
        </w:rPr>
        <w:t>DATA: 20/05/2026</w:t>
      </w:r>
    </w:p>
    <w:p>
      <w:pPr>
        <w:spacing w:before="0" w:after="40"/>
        <w:jc w:val="left"/>
      </w:pPr>
      <w:r>
        <w:rPr>
          <w:b w:val="0"/>
          <w:sz w:val="20"/>
        </w:rPr>
        <w:t>INFORMAÇÃO N.º: DGADR-I01209-202605-INF-DSIGA\DPGI</w:t>
      </w:r>
    </w:p>
    <w:p>
      <w:pPr>
        <w:spacing w:before="0" w:after="40"/>
        <w:jc w:val="left"/>
      </w:pPr>
      <w:r>
        <w:rPr>
          <w:b w:val="0"/>
          <w:sz w:val="20"/>
        </w:rPr>
        <w:t>PROC. N.º:</w:t>
      </w:r>
    </w:p>
    <w:p>
      <w:pPr>
        <w:spacing w:before="0" w:after="120"/>
        <w:jc w:val="center"/>
      </w:pPr>
      <w:r>
        <w:rPr>
          <w:b w:val="0"/>
          <w:sz w:val="20"/>
        </w:rPr>
        <w:t>__________________________________________________________________________________________</w:t>
      </w:r>
    </w:p>
    <w:p>
      <w:pPr>
        <w:spacing w:before="40" w:after="120"/>
        <w:jc w:val="left"/>
      </w:pPr>
      <w:r>
        <w:rPr>
          <w:b w:val="0"/>
          <w:sz w:val="20"/>
        </w:rPr>
        <w:t>PARECER:            DESPACHO:</w:t>
      </w:r>
    </w:p>
    <w:p>
      <w:pPr>
        <w:spacing w:before="0" w:after="200"/>
      </w:pPr>
      <w:r>
        <w:rPr>
          <w:b/>
          <w:sz w:val="22"/>
        </w:rPr>
        <w:t xml:space="preserve">ASSUNTO: </w:t>
      </w:r>
      <w:r>
        <w:rPr>
          <w:b/>
          <w:sz w:val="22"/>
        </w:rPr>
        <w:t>Proposta de melhoria da funcionalidade de Pedidos de Informação na Aplicação Móvel DGADR DigiSignage</w:t>
      </w:r>
    </w:p>
    <w:p>
      <w:pPr>
        <w:spacing w:before="200" w:after="80"/>
        <w:jc w:val="left"/>
      </w:pPr>
      <w:r>
        <w:rPr>
          <w:b/>
          <w:sz w:val="22"/>
          <w:u w:val="none"/>
        </w:rPr>
        <w:t>Introdução</w:t>
      </w:r>
    </w:p>
    <w:p>
      <w:pPr>
        <w:spacing w:before="0" w:after="120"/>
        <w:jc w:val="left"/>
      </w:pPr>
      <w:r>
        <w:rPr>
          <w:b w:val="0"/>
          <w:sz w:val="22"/>
        </w:rPr>
        <w:t>A aplicação móvel DGADR DigiSignage integra uma funcionalidade dedicada ao apoio e orientação dos cidadãos e colaboradores na área dos Pedidos de Informação. Esta funcionalidade disponibiliza um assistente virtual inteligente, acessível a partir de qualquer dispositivo móvel, que responde em linguagem natural a questões relacionadas com os serviços, procedimentos e legislação da Direção-Geral de Agricultura e Desenvolvimento Rural (DGADR).</w:t>
      </w:r>
    </w:p>
    <w:p>
      <w:pPr>
        <w:spacing w:before="0" w:after="120"/>
        <w:jc w:val="left"/>
      </w:pPr>
      <w:r>
        <w:rPr>
          <w:b w:val="0"/>
          <w:sz w:val="22"/>
        </w:rPr>
        <w:t>A presente proposta descreve o funcionamento desta área, evidencia os seus benefícios para os utilizadores e para a organização, e identifica as oportunidades de melhoria que permitirão potenciar ainda mais o seu valor enquanto canal de comunicação e de prestação de serviços públicos digitais.</w:t>
      </w:r>
    </w:p>
    <w:p>
      <w:pPr>
        <w:spacing w:before="240" w:after="80"/>
        <w:jc w:val="left"/>
      </w:pPr>
      <w:r>
        <w:rPr>
          <w:b/>
          <w:sz w:val="22"/>
          <w:u w:val="none"/>
        </w:rPr>
        <w:t>Descrição da Funcionalidade</w:t>
      </w:r>
    </w:p>
    <w:p>
      <w:pPr>
        <w:spacing w:before="0" w:after="120"/>
        <w:jc w:val="left"/>
      </w:pPr>
      <w:r>
        <w:rPr>
          <w:b w:val="0"/>
          <w:sz w:val="22"/>
        </w:rPr>
        <w:t>A área de Pedidos de Informação da aplicação DGADR DigiSignage funciona como um serviço de apoio inteligente, disponível 24 horas por dia, 7 dias por semana, diretamente no telemóvel do utilizador. Através de uma interface de conversação simples e intuitiva — semelhante a aplicações de mensagens do quotidiano —, o utilizador pode colocar questões em português e obter respostas imediatas, claras e contextualizadas.</w:t>
      </w:r>
    </w:p>
    <w:p>
      <w:pPr>
        <w:spacing w:before="0" w:after="60"/>
        <w:jc w:val="left"/>
      </w:pPr>
      <w:r>
        <w:rPr>
          <w:b w:val="0"/>
          <w:sz w:val="22"/>
        </w:rPr>
        <w:t>O assistente virtual está preparado para responder a questões sobre os principais temas da competência da DGADR, incluindo, entre outros:</w:t>
      </w:r>
    </w:p>
    <w:p>
      <w:pPr>
        <w:pStyle w:val="ListBullet"/>
        <w:spacing w:before="0" w:after="60"/>
        <w:ind w:left="567"/>
      </w:pPr>
      <w:r>
        <w:rPr>
          <w:sz w:val="22"/>
        </w:rPr>
        <w:t>Estatuto da Agricultura Familiar e do Jovem Empresário Rural;</w:t>
      </w:r>
    </w:p>
    <w:p>
      <w:pPr>
        <w:pStyle w:val="ListBullet"/>
        <w:spacing w:before="0" w:after="60"/>
        <w:ind w:left="567"/>
      </w:pPr>
      <w:r>
        <w:rPr>
          <w:sz w:val="22"/>
        </w:rPr>
        <w:t>Produção Biológica e modos de produção integrada;</w:t>
      </w:r>
    </w:p>
    <w:p>
      <w:pPr>
        <w:pStyle w:val="ListBullet"/>
        <w:spacing w:before="0" w:after="60"/>
        <w:ind w:left="567"/>
      </w:pPr>
      <w:r>
        <w:rPr>
          <w:sz w:val="22"/>
        </w:rPr>
        <w:t>Denominações de Origem Protegidas (DOP), Indicações Geográficas Protegidas (IGP) e Especialidades Tradicionais Garantidas (ETG);</w:t>
      </w:r>
    </w:p>
    <w:p>
      <w:pPr>
        <w:pStyle w:val="ListBullet"/>
        <w:spacing w:before="0" w:after="60"/>
        <w:ind w:left="567"/>
      </w:pPr>
      <w:r>
        <w:rPr>
          <w:sz w:val="22"/>
        </w:rPr>
        <w:t>Gasóleo Agrícola e Mecanização Agrária;</w:t>
      </w:r>
    </w:p>
    <w:p>
      <w:pPr>
        <w:pStyle w:val="ListBullet"/>
        <w:spacing w:before="0" w:after="60"/>
        <w:ind w:left="567"/>
      </w:pPr>
      <w:r>
        <w:rPr>
          <w:sz w:val="22"/>
        </w:rPr>
        <w:t>Emparcelamento e ordenamento do espaço rural;</w:t>
      </w:r>
    </w:p>
    <w:p>
      <w:pPr>
        <w:pStyle w:val="ListBullet"/>
        <w:spacing w:before="0" w:after="60"/>
        <w:ind w:left="567"/>
      </w:pPr>
      <w:r>
        <w:rPr>
          <w:sz w:val="22"/>
        </w:rPr>
        <w:t>Regadio e infraestruturas hidráulicas;</w:t>
      </w:r>
    </w:p>
    <w:p>
      <w:pPr>
        <w:pStyle w:val="ListBullet"/>
        <w:spacing w:before="0" w:after="60"/>
        <w:ind w:left="567"/>
      </w:pPr>
      <w:r>
        <w:rPr>
          <w:sz w:val="22"/>
        </w:rPr>
        <w:t>Recursos naturais, solos e recursos hídricos;</w:t>
      </w:r>
    </w:p>
    <w:p>
      <w:pPr>
        <w:pStyle w:val="ListBullet"/>
        <w:spacing w:before="0" w:after="60"/>
        <w:ind w:left="567"/>
      </w:pPr>
      <w:r>
        <w:rPr>
          <w:sz w:val="22"/>
        </w:rPr>
        <w:t>Qualidade agroalimentar e recursos genéticos;</w:t>
      </w:r>
    </w:p>
    <w:p>
      <w:pPr>
        <w:pStyle w:val="ListBullet"/>
        <w:spacing w:before="0" w:after="60"/>
        <w:ind w:left="567"/>
      </w:pPr>
      <w:r>
        <w:rPr>
          <w:sz w:val="22"/>
        </w:rPr>
        <w:t>Serviços da Biblioteca da DGADR.</w:t>
      </w:r>
    </w:p>
    <w:p>
      <w:pPr>
        <w:spacing w:before="120" w:after="120"/>
        <w:jc w:val="left"/>
      </w:pPr>
      <w:r>
        <w:rPr>
          <w:b w:val="0"/>
          <w:sz w:val="22"/>
        </w:rPr>
        <w:t>Sempre que a questão colocada ultrapasse o âmbito da DGADR, o assistente identifica automaticamente a entidade competente — como a APA, o IFAP, a DGAV, o ICNF, as CCDR regionais, entre outras — e disponibiliza os respetivos contactos, evitando que o utilizador fique sem resposta.</w:t>
      </w:r>
    </w:p>
    <w:p>
      <w:pPr>
        <w:spacing w:before="240" w:after="80"/>
        <w:jc w:val="left"/>
      </w:pPr>
      <w:r>
        <w:rPr>
          <w:b/>
          <w:sz w:val="22"/>
          <w:u w:val="none"/>
        </w:rPr>
        <w:t>Como Funciona</w:t>
      </w:r>
    </w:p>
    <w:p>
      <w:pPr>
        <w:spacing w:before="0" w:after="60"/>
        <w:jc w:val="left"/>
      </w:pPr>
      <w:r>
        <w:rPr>
          <w:b w:val="0"/>
          <w:sz w:val="22"/>
        </w:rPr>
        <w:t>O processo de utilização é simples e não requer qualquer conhecimento técnico:</w:t>
      </w:r>
    </w:p>
    <w:p>
      <w:pPr>
        <w:pStyle w:val="ListNumber"/>
        <w:spacing w:before="0" w:after="60"/>
        <w:ind w:left="567"/>
      </w:pPr>
      <w:r>
        <w:rPr>
          <w:sz w:val="22"/>
        </w:rPr>
        <w:t>O utilizador acede ao separador "Pedidos de Informação" na aplicação DGADR DigiSignage;</w:t>
      </w:r>
    </w:p>
    <w:p>
      <w:pPr>
        <w:pStyle w:val="ListNumber"/>
        <w:spacing w:before="0" w:after="60"/>
        <w:ind w:left="567"/>
      </w:pPr>
      <w:r>
        <w:rPr>
          <w:sz w:val="22"/>
        </w:rPr>
        <w:t>Escreve a sua questão em linguagem corrente (por exemplo: "Como obtenho o estatuto de Jovem Empresário Rural?");</w:t>
      </w:r>
    </w:p>
    <w:p>
      <w:pPr>
        <w:pStyle w:val="ListNumber"/>
        <w:spacing w:before="0" w:after="60"/>
        <w:ind w:left="567"/>
      </w:pPr>
      <w:r>
        <w:rPr>
          <w:sz w:val="22"/>
        </w:rPr>
        <w:t>O sistema processa a pergunta, consulta a base de conhecimento interna e, se necessário, pesquisa informação atualizada no sítio oficial da DGADR e do Ministério da Agricultura;</w:t>
      </w:r>
    </w:p>
    <w:p>
      <w:pPr>
        <w:pStyle w:val="ListNumber"/>
        <w:spacing w:before="0" w:after="60"/>
        <w:ind w:left="567"/>
      </w:pPr>
      <w:r>
        <w:rPr>
          <w:sz w:val="22"/>
        </w:rPr>
        <w:t>O assistente apresenta uma resposta clara, acompanhada dos contactos relevantes (telefone, e-mail ou divisão responsável) para esclarecimentos adicionais;</w:t>
      </w:r>
    </w:p>
    <w:p>
      <w:pPr>
        <w:pStyle w:val="ListNumber"/>
        <w:spacing w:before="0" w:after="60"/>
        <w:ind w:left="567"/>
      </w:pPr>
      <w:r>
        <w:rPr>
          <w:sz w:val="22"/>
        </w:rPr>
        <w:t>O utilizador pode continuar a conversa, colocar novas questões ou gerir múltiplas conversas em simultâneo.</w:t>
      </w:r>
    </w:p>
    <w:p>
      <w:pPr>
        <w:spacing w:before="120" w:after="120"/>
        <w:jc w:val="left"/>
      </w:pPr>
      <w:r>
        <w:rPr>
          <w:b w:val="0"/>
          <w:sz w:val="22"/>
        </w:rPr>
        <w:t>Para situações que exijam acompanhamento formal, a funcionalidade disponibiliza ainda uma ligação direta ao canal tradicional de pedidos de informação da DGADR, assegurando a continuidade do serviço.</w:t>
      </w:r>
    </w:p>
    <w:p>
      <w:pPr>
        <w:spacing w:before="240" w:after="80"/>
        <w:jc w:val="left"/>
      </w:pPr>
      <w:r>
        <w:rPr>
          <w:b/>
          <w:sz w:val="22"/>
          <w:u w:val="none"/>
        </w:rPr>
        <w:t>Arquitetura Técnica (Nota Simplificada)</w:t>
      </w:r>
    </w:p>
    <w:p>
      <w:pPr>
        <w:spacing w:before="0" w:after="60"/>
        <w:jc w:val="left"/>
      </w:pPr>
      <w:r>
        <w:rPr>
          <w:b w:val="0"/>
          <w:sz w:val="22"/>
        </w:rPr>
        <w:t>A solução assenta em quatro componentes principais, que trabalham de forma integrada e transparente para o utilizador:</w:t>
      </w:r>
    </w:p>
    <w:p>
      <w:pPr>
        <w:spacing w:before="0" w:after="80"/>
        <w:ind w:left="567"/>
      </w:pPr>
      <w:r>
        <w:rPr>
          <w:b/>
          <w:sz w:val="22"/>
        </w:rPr>
        <w:t xml:space="preserve">• Base de Conhecimento Local: </w:t>
      </w:r>
      <w:r>
        <w:rPr>
          <w:sz w:val="22"/>
        </w:rPr>
        <w:t>conjunto de documentos temáticos sobre as áreas de competência da DGADR, disponíveis na aplicação, que permitem respostas mesmo sem ligação à internet.</w:t>
      </w:r>
    </w:p>
    <w:p>
      <w:pPr>
        <w:spacing w:before="0" w:after="80"/>
        <w:ind w:left="567"/>
      </w:pPr>
      <w:r>
        <w:rPr>
          <w:b/>
          <w:sz w:val="22"/>
        </w:rPr>
        <w:t xml:space="preserve">• Pesquisa Web com Fundamentação: </w:t>
      </w:r>
      <w:r>
        <w:rPr>
          <w:sz w:val="22"/>
        </w:rPr>
        <w:t>quando necessário, o assistente consulta automaticamente os sítios oficiais da DGADR e do Ministério da Agricultura para garantir informação atualizada.</w:t>
      </w:r>
    </w:p>
    <w:p>
      <w:pPr>
        <w:spacing w:before="0" w:after="80"/>
        <w:ind w:left="567"/>
      </w:pPr>
      <w:r>
        <w:rPr>
          <w:b/>
          <w:sz w:val="22"/>
        </w:rPr>
        <w:t xml:space="preserve">• Diretório de Contactos: </w:t>
      </w:r>
      <w:r>
        <w:rPr>
          <w:sz w:val="22"/>
        </w:rPr>
        <w:t>base de dados com mais de 50 contactos internos organizados por divisão e mais de 20 entidades externas, permitindo encaminhamentos precisos e úteis.</w:t>
      </w:r>
    </w:p>
    <w:p>
      <w:pPr>
        <w:spacing w:before="0" w:after="80"/>
        <w:ind w:left="567"/>
      </w:pPr>
      <w:r>
        <w:rPr>
          <w:b/>
          <w:sz w:val="22"/>
        </w:rPr>
        <w:t xml:space="preserve">• Modelo de Inteligência Artificial: </w:t>
      </w:r>
      <w:r>
        <w:rPr>
          <w:sz w:val="22"/>
        </w:rPr>
        <w:t>motor de linguagem natural que interpreta as questões dos utilizadores e gera respostas coerentes, em português, adaptadas ao contexto da DGADR.</w:t>
      </w:r>
    </w:p>
    <w:p>
      <w:pPr>
        <w:spacing w:before="240" w:after="80"/>
        <w:jc w:val="left"/>
      </w:pPr>
      <w:r>
        <w:rPr>
          <w:b/>
          <w:sz w:val="22"/>
          <w:u w:val="none"/>
        </w:rPr>
        <w:t>Benefícios da Funcionalidade</w:t>
      </w:r>
    </w:p>
    <w:p>
      <w:pPr>
        <w:spacing w:before="0" w:after="60"/>
        <w:jc w:val="left"/>
      </w:pPr>
      <w:r>
        <w:rPr>
          <w:b w:val="0"/>
          <w:sz w:val="22"/>
        </w:rPr>
        <w:t>A implementação desta funcionalidade apresenta, entre outras, as seguintes vantagens:</w:t>
      </w:r>
    </w:p>
    <w:p>
      <w:pPr>
        <w:pStyle w:val="ListBullet"/>
        <w:spacing w:before="0" w:after="60"/>
        <w:ind w:left="567"/>
      </w:pPr>
      <w:r>
        <w:rPr>
          <w:sz w:val="22"/>
        </w:rPr>
        <w:t>Disponibilidade permanente: o assistente está acessível a qualquer hora, sem necessidade de aguardar horários de atendimento ou filas de espera;</w:t>
      </w:r>
    </w:p>
    <w:p>
      <w:pPr>
        <w:pStyle w:val="ListBullet"/>
        <w:spacing w:before="0" w:after="60"/>
        <w:ind w:left="567"/>
      </w:pPr>
      <w:r>
        <w:rPr>
          <w:sz w:val="22"/>
        </w:rPr>
        <w:t>Resposta imediata: o utilizador obtém informação relevante no imediato, reduzindo o tempo de espera face ao canal tradicional de pedidos escritos;</w:t>
      </w:r>
    </w:p>
    <w:p>
      <w:pPr>
        <w:pStyle w:val="ListBullet"/>
        <w:spacing w:before="0" w:after="60"/>
        <w:ind w:left="567"/>
      </w:pPr>
      <w:r>
        <w:rPr>
          <w:sz w:val="22"/>
        </w:rPr>
        <w:t>Linguagem acessível: as respostas são apresentadas em linguagem simples e clara, sem recurso a terminologia técnica desnecessária;</w:t>
      </w:r>
    </w:p>
    <w:p>
      <w:pPr>
        <w:pStyle w:val="ListBullet"/>
        <w:spacing w:before="0" w:after="60"/>
        <w:ind w:left="567"/>
      </w:pPr>
      <w:r>
        <w:rPr>
          <w:sz w:val="22"/>
        </w:rPr>
        <w:t>Encaminhamento inteligente: quando a questão não é da competência da DGADR, o sistema identifica automaticamente a entidade correta, evitando que o utilizador fique sem orientação;</w:t>
      </w:r>
    </w:p>
    <w:p>
      <w:pPr>
        <w:pStyle w:val="ListBullet"/>
        <w:spacing w:before="0" w:after="60"/>
        <w:ind w:left="567"/>
      </w:pPr>
      <w:r>
        <w:rPr>
          <w:sz w:val="22"/>
        </w:rPr>
        <w:t>Redução da carga administrativa: ao resolver um volume significativo de questões de forma autónoma, a funcionalidade liberta os colaboradores da DGADR para tarefas de maior valor acrescentado;</w:t>
      </w:r>
    </w:p>
    <w:p>
      <w:pPr>
        <w:pStyle w:val="ListBullet"/>
        <w:spacing w:before="0" w:after="60"/>
        <w:ind w:left="567"/>
      </w:pPr>
      <w:r>
        <w:rPr>
          <w:sz w:val="22"/>
        </w:rPr>
        <w:t>Acesso móvel e intuitivo: a interface de conversação é familiar para qualquer utilizador de telemóvel, não exigindo formação prévia;</w:t>
      </w:r>
    </w:p>
    <w:p>
      <w:pPr>
        <w:pStyle w:val="ListBullet"/>
        <w:spacing w:before="0" w:after="60"/>
        <w:ind w:left="567"/>
      </w:pPr>
      <w:r>
        <w:rPr>
          <w:sz w:val="22"/>
        </w:rPr>
        <w:t>Informação consistente e fiável: as respostas baseiam-se em fontes oficiais e são atualizadas regularmente, assegurando coerência e rigor;</w:t>
      </w:r>
    </w:p>
    <w:p>
      <w:pPr>
        <w:pStyle w:val="ListBullet"/>
        <w:spacing w:before="0" w:after="60"/>
        <w:ind w:left="567"/>
      </w:pPr>
      <w:r>
        <w:rPr>
          <w:sz w:val="22"/>
        </w:rPr>
        <w:t>Cobertura multidivisional: o assistente abrange as principais áreas temáticas da DGADR, constituindo um ponto de entrada único para qualquer questão relacionada com a organização.</w:t>
      </w:r>
    </w:p>
    <w:p>
      <w:pPr>
        <w:spacing w:before="240" w:after="80"/>
        <w:jc w:val="left"/>
      </w:pPr>
      <w:r>
        <w:rPr>
          <w:b/>
          <w:sz w:val="22"/>
          <w:u w:val="none"/>
        </w:rPr>
        <w:t>Oportunidades de Melhoria</w:t>
      </w:r>
    </w:p>
    <w:p>
      <w:pPr>
        <w:spacing w:before="0" w:after="60"/>
        <w:jc w:val="left"/>
      </w:pPr>
      <w:r>
        <w:rPr>
          <w:b w:val="0"/>
          <w:sz w:val="22"/>
        </w:rPr>
        <w:t>Com o objetivo de ampliar o alcance e a eficácia da funcionalidade, propõem-se as seguintes melhorias:</w:t>
      </w:r>
    </w:p>
    <w:p>
      <w:pPr>
        <w:pStyle w:val="ListBullet"/>
        <w:spacing w:before="0" w:after="60"/>
        <w:ind w:left="567"/>
      </w:pPr>
      <w:r>
        <w:rPr>
          <w:sz w:val="22"/>
        </w:rPr>
        <w:t>Alargamento da base de conhecimento: incorporação de mais documentação técnica, regulamentação europeia e nacional e informação de apoio sobre programas de financiamento agrícola (PEPAC, etc.);</w:t>
      </w:r>
    </w:p>
    <w:p>
      <w:pPr>
        <w:pStyle w:val="ListBullet"/>
        <w:spacing w:before="0" w:after="60"/>
        <w:ind w:left="567"/>
      </w:pPr>
      <w:r>
        <w:rPr>
          <w:sz w:val="22"/>
        </w:rPr>
        <w:t>Integração com o portal de pedidos formais: possibilidade de iniciar, diretamente na aplicação, um pedido de informação formal ao abrigo da legislação vigente, com rastreabilidade do processo;</w:t>
      </w:r>
    </w:p>
    <w:p>
      <w:pPr>
        <w:pStyle w:val="ListBullet"/>
        <w:spacing w:before="0" w:after="60"/>
        <w:ind w:left="567"/>
      </w:pPr>
      <w:r>
        <w:rPr>
          <w:sz w:val="22"/>
        </w:rPr>
        <w:t>Histórico de conversas: manutenção de um arquivo consultável das interações anteriores, permitindo ao utilizador revisitar respostas já obtidas;</w:t>
      </w:r>
    </w:p>
    <w:p>
      <w:pPr>
        <w:pStyle w:val="ListBullet"/>
        <w:spacing w:before="0" w:after="60"/>
        <w:ind w:left="567"/>
      </w:pPr>
      <w:r>
        <w:rPr>
          <w:sz w:val="22"/>
        </w:rPr>
        <w:t>Avaliação da qualidade das respostas: mecanismo simples de classificação (positivo/negativo) que permita monitorizar e melhorar continuamente a qualidade do assistente;</w:t>
      </w:r>
    </w:p>
    <w:p>
      <w:pPr>
        <w:pStyle w:val="ListBullet"/>
        <w:spacing w:before="0" w:after="60"/>
        <w:ind w:left="567"/>
      </w:pPr>
      <w:r>
        <w:rPr>
          <w:sz w:val="22"/>
        </w:rPr>
        <w:t>Notificações de atualização legislativa: alerta automático aos utilizadores quando existam alterações relevantes nas matérias sobre as quais já obtiveram informação;</w:t>
      </w:r>
    </w:p>
    <w:p>
      <w:pPr>
        <w:pStyle w:val="ListBullet"/>
        <w:spacing w:before="0" w:after="60"/>
        <w:ind w:left="567"/>
      </w:pPr>
      <w:r>
        <w:rPr>
          <w:sz w:val="22"/>
        </w:rPr>
        <w:t>Extensão ao portal intranet: disponibilização da mesma funcionalidade no ambiente intranet da DGADR para utilização pelos colaboradores internos.</w:t>
      </w:r>
    </w:p>
    <w:p>
      <w:pPr>
        <w:spacing w:before="240" w:after="80"/>
        <w:jc w:val="left"/>
      </w:pPr>
      <w:r>
        <w:rPr>
          <w:b/>
          <w:sz w:val="22"/>
          <w:u w:val="none"/>
        </w:rPr>
        <w:t>Conclusão</w:t>
      </w:r>
    </w:p>
    <w:p>
      <w:pPr>
        <w:spacing w:before="0" w:after="120"/>
        <w:jc w:val="left"/>
      </w:pPr>
      <w:r>
        <w:rPr>
          <w:b w:val="0"/>
          <w:sz w:val="22"/>
        </w:rPr>
        <w:t>A funcionalidade de Pedidos de Informação da aplicação DGADR DigiSignage representa uma melhoria significativa no modo como a DGADR presta informação e orienta os seus utilizadores. Trata-se de uma solução tecnologicamente atual, funcional e de fácil utilização, que coloca ao dispor do cidadão e dos colaboradores um canal de apoio inteligente, disponível em permanência e integrado com as fontes oficiais da organização.</w:t>
      </w:r>
    </w:p>
    <w:p>
      <w:pPr>
        <w:spacing w:before="0" w:after="120"/>
        <w:jc w:val="left"/>
      </w:pPr>
      <w:r>
        <w:rPr>
          <w:b w:val="0"/>
          <w:sz w:val="22"/>
        </w:rPr>
        <w:t>A presente proposta visa não apenas documentar e valorizar a solução já existente, mas também identificar os vetores de desenvolvimento que permitirão transformá-la num instrumento cada vez mais completo, eficiente e alinhado com os objetivos de modernização administrativa e de melhoria da qualidade do serviço público da DGADR.</w:t>
      </w:r>
    </w:p>
    <w:p>
      <w:pPr>
        <w:spacing w:before="0" w:after="400"/>
        <w:jc w:val="left"/>
      </w:pPr>
      <w:r>
        <w:rPr>
          <w:b w:val="0"/>
          <w:sz w:val="22"/>
        </w:rPr>
        <w:t>Pelo exposto, o signatário propõe superiormente, a título de melhoria, o aprofundamento e alargamento da funcionalidade de Pedidos de Informação na aplicação DGADR DigiSignage, como medida de reforço da qualidade do serviço prestado ao cidadão, de racionalização dos processos de resposta a pedidos de informação e de valorização dos canais digitais da organização.</w:t>
      </w:r>
    </w:p>
    <w:p>
      <w:pPr>
        <w:spacing w:before="240" w:after="40"/>
        <w:jc w:val="left"/>
      </w:pPr>
      <w:r>
        <w:rPr>
          <w:b w:val="0"/>
          <w:sz w:val="22"/>
        </w:rPr>
        <w:t>____________________________</w:t>
      </w:r>
    </w:p>
    <w:p>
      <w:pPr>
        <w:spacing w:before="0" w:after="40"/>
        <w:jc w:val="left"/>
      </w:pPr>
      <w:r>
        <w:rPr>
          <w:b w:val="0"/>
          <w:sz w:val="22"/>
        </w:rPr>
        <w:t>(Dinis Costa)</w:t>
      </w:r>
    </w:p>
    <w:p>
      <w:pPr>
        <w:spacing w:before="0" w:after="40"/>
        <w:jc w:val="left"/>
      </w:pPr>
      <w:r>
        <w:rPr>
          <w:b w:val="0"/>
          <w:sz w:val="22"/>
        </w:rPr>
        <w:t>(Técnico Superior)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