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val="0"/>
          <w:sz w:val="20"/>
        </w:rPr>
        <w:t>__________________________________________________________________________________________</w:t>
      </w:r>
    </w:p>
    <w:p>
      <w:pPr>
        <w:spacing w:before="0" w:after="40"/>
        <w:jc w:val="left"/>
      </w:pPr>
      <w:r>
        <w:rPr>
          <w:b w:val="0"/>
          <w:sz w:val="20"/>
        </w:rPr>
        <w:t>DATA: 20/05/2026</w:t>
      </w:r>
    </w:p>
    <w:p>
      <w:pPr>
        <w:spacing w:before="0" w:after="40"/>
        <w:jc w:val="left"/>
      </w:pPr>
      <w:r>
        <w:rPr>
          <w:b w:val="0"/>
          <w:sz w:val="20"/>
        </w:rPr>
        <w:t>INFORMAÇÃO N.º: DGADR-I01209-202605-INF-DSIGA\DPGI</w:t>
      </w:r>
    </w:p>
    <w:p>
      <w:pPr>
        <w:spacing w:before="0" w:after="40"/>
        <w:jc w:val="left"/>
      </w:pPr>
      <w:r>
        <w:rPr>
          <w:b w:val="0"/>
          <w:sz w:val="20"/>
        </w:rPr>
        <w:t>PROC. N.º:</w:t>
      </w:r>
    </w:p>
    <w:p>
      <w:pPr>
        <w:spacing w:before="0" w:after="120"/>
        <w:jc w:val="center"/>
      </w:pPr>
      <w:r>
        <w:rPr>
          <w:b w:val="0"/>
          <w:sz w:val="20"/>
        </w:rPr>
        <w:t>__________________________________________________________________________________________</w:t>
      </w:r>
    </w:p>
    <w:p>
      <w:pPr>
        <w:spacing w:before="0" w:after="120"/>
        <w:jc w:val="left"/>
      </w:pPr>
      <w:r>
        <w:rPr>
          <w:b w:val="0"/>
          <w:sz w:val="20"/>
        </w:rPr>
        <w:t>PARECER:            DESPACHO:</w:t>
      </w:r>
    </w:p>
    <w:p>
      <w:pPr>
        <w:spacing w:before="0" w:after="200"/>
      </w:pPr>
      <w:r>
        <w:rPr>
          <w:b/>
          <w:sz w:val="22"/>
        </w:rPr>
        <w:t xml:space="preserve">ASSUNTO: </w:t>
      </w:r>
      <w:r>
        <w:rPr>
          <w:b/>
          <w:sz w:val="22"/>
        </w:rPr>
        <w:t>Proposta de criação de funcionalidade de Pedidos de Informação na Aplicação Móvel DGADR DigiSignage (protótipo disponível para consideração)</w:t>
      </w:r>
    </w:p>
    <w:p>
      <w:pPr>
        <w:spacing w:before="240" w:after="80"/>
      </w:pPr>
      <w:r>
        <w:rPr>
          <w:b/>
          <w:sz w:val="22"/>
        </w:rPr>
        <w:t>Introdução</w:t>
      </w:r>
    </w:p>
    <w:p>
      <w:pPr>
        <w:spacing w:before="0" w:after="120"/>
        <w:jc w:val="left"/>
      </w:pPr>
      <w:r>
        <w:rPr>
          <w:b w:val="0"/>
          <w:sz w:val="22"/>
        </w:rPr>
        <w:t>A DGADR recebe regularmente pedidos de informação de cidadãos, agricultores, técnicos e empresas do setor agrícola sobre os serviços, procedimentos e legislação da sua competência. O canal atualmente disponível para este efeito — o formulário de pedido de informação no portal institucional — implica tempos de resposta variáveis, dependentes da disponibilidade dos colaboradores, e não está otimizado para utilização em dispositivos móveis.</w:t>
      </w:r>
    </w:p>
    <w:p>
      <w:pPr>
        <w:spacing w:before="0" w:after="120"/>
        <w:jc w:val="left"/>
      </w:pPr>
      <w:r>
        <w:rPr>
          <w:b w:val="0"/>
          <w:sz w:val="22"/>
        </w:rPr>
        <w:t>A presente proposta visa colmatar esta lacuna através da criação de uma funcionalidade dedicada aos Pedidos de Informação na aplicação móvel DGADR DigiSignage, tirando partido das capacidades de inteligência artificial generativa para disponibilizar respostas imediatas, em linguagem natural, em qualquer momento e a partir de qualquer localização. Um protótipo desta funcionalidade encontra-se disponível para demonstração, conforme imagens em anexo.</w:t>
      </w:r>
    </w:p>
    <w:p>
      <w:pPr>
        <w:spacing w:before="240" w:after="80"/>
      </w:pPr>
      <w:r>
        <w:rPr>
          <w:b/>
          <w:sz w:val="22"/>
        </w:rPr>
        <w:t>Descrição da Funcionalidade Proposta</w:t>
      </w:r>
    </w:p>
    <w:p>
      <w:pPr>
        <w:spacing w:before="0" w:after="120"/>
        <w:jc w:val="left"/>
      </w:pPr>
      <w:r>
        <w:rPr>
          <w:b w:val="0"/>
          <w:sz w:val="22"/>
        </w:rPr>
        <w:t>Propõe-se a criação de uma área de Pedidos de Informação na aplicação DGADR DigiSignage, assente num assistente virtual inteligente acessível diretamente no telemóvel do utilizador. Através de uma interface de conversação simples e intuitiva — semelhante às aplicações de mensagens do quotidiano —, o utilizador poderá colocar questões em português corrente e obter respostas imediatas, sem necessidade de aguardar pelo horário de atendimento ou de preencher formulários.</w:t>
      </w:r>
    </w:p>
    <w:p>
      <w:pPr>
        <w:spacing w:before="0" w:after="60"/>
        <w:jc w:val="left"/>
      </w:pPr>
      <w:r>
        <w:rPr>
          <w:b w:val="0"/>
          <w:sz w:val="22"/>
        </w:rPr>
        <w:t>O assistente estará preparado para responder a questões sobre os principais temas da competência da DGADR, incluindo, entre outros:</w:t>
      </w:r>
    </w:p>
    <w:p>
      <w:pPr>
        <w:pStyle w:val="ListBullet"/>
        <w:spacing w:before="0" w:after="60"/>
        <w:ind w:left="567"/>
      </w:pPr>
      <w:r>
        <w:rPr>
          <w:sz w:val="22"/>
        </w:rPr>
        <w:t>Estatuto da Agricultura Familiar e do Jovem Empresário Rural;</w:t>
      </w:r>
    </w:p>
    <w:p>
      <w:pPr>
        <w:pStyle w:val="ListBullet"/>
        <w:spacing w:before="0" w:after="60"/>
        <w:ind w:left="567"/>
      </w:pPr>
      <w:r>
        <w:rPr>
          <w:sz w:val="22"/>
        </w:rPr>
        <w:t>Produção Biológica e modos de produção integrada;</w:t>
      </w:r>
    </w:p>
    <w:p>
      <w:pPr>
        <w:pStyle w:val="ListBullet"/>
        <w:spacing w:before="0" w:after="60"/>
        <w:ind w:left="567"/>
      </w:pPr>
      <w:r>
        <w:rPr>
          <w:sz w:val="22"/>
        </w:rPr>
        <w:t>Denominações de Origem Protegidas (DOP), Indicações Geográficas Protegidas (IGP) e Especialidades Tradicionais Garantidas (ETG);</w:t>
      </w:r>
    </w:p>
    <w:p>
      <w:pPr>
        <w:pStyle w:val="ListBullet"/>
        <w:spacing w:before="0" w:after="60"/>
        <w:ind w:left="567"/>
      </w:pPr>
      <w:r>
        <w:rPr>
          <w:sz w:val="22"/>
        </w:rPr>
        <w:t>Gasóleo Agrícola e Mecanização Agrária;</w:t>
      </w:r>
    </w:p>
    <w:p>
      <w:pPr>
        <w:pStyle w:val="ListBullet"/>
        <w:spacing w:before="0" w:after="60"/>
        <w:ind w:left="567"/>
      </w:pPr>
      <w:r>
        <w:rPr>
          <w:sz w:val="22"/>
        </w:rPr>
        <w:t>Emparcelamento e ordenamento do espaço rural;</w:t>
      </w:r>
    </w:p>
    <w:p>
      <w:pPr>
        <w:pStyle w:val="ListBullet"/>
        <w:spacing w:before="0" w:after="60"/>
        <w:ind w:left="567"/>
      </w:pPr>
      <w:r>
        <w:rPr>
          <w:sz w:val="22"/>
        </w:rPr>
        <w:t>Regadio e infraestruturas hidráulicas;</w:t>
      </w:r>
    </w:p>
    <w:p>
      <w:pPr>
        <w:pStyle w:val="ListBullet"/>
        <w:spacing w:before="0" w:after="60"/>
        <w:ind w:left="567"/>
      </w:pPr>
      <w:r>
        <w:rPr>
          <w:sz w:val="22"/>
        </w:rPr>
        <w:t>Recursos naturais, solos e recursos hídricos;</w:t>
      </w:r>
    </w:p>
    <w:p>
      <w:pPr>
        <w:pStyle w:val="ListBullet"/>
        <w:spacing w:before="0" w:after="60"/>
        <w:ind w:left="567"/>
      </w:pPr>
      <w:r>
        <w:rPr>
          <w:sz w:val="22"/>
        </w:rPr>
        <w:t>Qualidade agroalimentar e recursos genéticos;</w:t>
      </w:r>
    </w:p>
    <w:p>
      <w:pPr>
        <w:pStyle w:val="ListBullet"/>
        <w:spacing w:before="0" w:after="60"/>
        <w:ind w:left="567"/>
      </w:pPr>
      <w:r>
        <w:rPr>
          <w:sz w:val="22"/>
        </w:rPr>
        <w:t>Serviços da Biblioteca da DGADR.</w:t>
      </w:r>
    </w:p>
    <w:p>
      <w:pPr>
        <w:spacing w:before="240" w:after="80"/>
      </w:pPr>
      <w:r>
        <w:rPr>
          <w:b/>
          <w:sz w:val="22"/>
        </w:rPr>
        <w:t>Fluxo de Resposta do Assistente</w:t>
      </w:r>
    </w:p>
    <w:p>
      <w:pPr>
        <w:spacing w:before="0" w:after="120"/>
        <w:jc w:val="left"/>
      </w:pPr>
      <w:r>
        <w:rPr>
          <w:b w:val="0"/>
          <w:sz w:val="22"/>
        </w:rPr>
        <w:t>O assistente processará cada questão colocada pelo utilizador segundo uma lógica sequencial de três cenários, garantindo sempre uma resposta útil e adequada ao contexto:</w:t>
      </w:r>
    </w:p>
    <w:p>
      <w:pPr>
        <w:spacing w:before="80" w:after="40"/>
        <w:ind w:left="283"/>
      </w:pPr>
      <w:r>
        <w:rPr>
          <w:b/>
          <w:sz w:val="22"/>
        </w:rPr>
        <w:t>Cenário 1 — Informação disponível na base de conhecimento interna</w:t>
      </w:r>
    </w:p>
    <w:p>
      <w:pPr>
        <w:spacing w:before="40" w:after="160"/>
        <w:jc w:val="left"/>
      </w:pPr>
      <w:r>
        <w:rPr>
          <w:b w:val="0"/>
          <w:sz w:val="22"/>
        </w:rPr>
        <w:t>Quando a questão colocada corresponde a um tema coberto pela base de conhecimento da DGADR, o assistente identifica a divisão interna competente — como a Divisão de Apoio às Explorações Agrícolas (DAEA), a Divisão de Qualidade e Recursos Genéticos (DQRG), a Divisão de Ordenamento do Espaço Rural (DOER), entre outras — ou, se aplicável, a entidade externa responsável (IFAP, APA, DGAV, CCDR, etc.). A resposta apresenta os contactos diretos dessa divisão ou entidade — telefone e e-mail —, permitindo ao utilizador prosseguir o seu pedido de forma imediata e direcionada.</w:t>
      </w:r>
    </w:p>
    <w:p>
      <w:pPr>
        <w:spacing w:before="80" w:after="40"/>
        <w:ind w:left="283"/>
      </w:pPr>
      <w:r>
        <w:rPr>
          <w:b/>
          <w:sz w:val="22"/>
        </w:rPr>
        <w:t>Cenário 2 — Informação não disponível na base de conhecimento, mas encontrada no sítio da DGADR</w:t>
      </w:r>
    </w:p>
    <w:p>
      <w:pPr>
        <w:spacing w:before="40" w:after="160"/>
        <w:jc w:val="left"/>
      </w:pPr>
      <w:r>
        <w:rPr>
          <w:b w:val="0"/>
          <w:sz w:val="22"/>
        </w:rPr>
        <w:t>Quando a questão não encontra correspondência direta na base de conhecimento interna, o assistente realiza automaticamente uma pesquisa no sítio oficial da DGADR (dgadr.gov.pt) e, se necessário, no portal do Ministério da Agricultura. Caso localize informação relevante, apresenta-a ao utilizador de forma sintetizada e em linguagem acessível, com base nos conteúdos oficiais encontrados.</w:t>
      </w:r>
    </w:p>
    <w:p>
      <w:pPr>
        <w:spacing w:before="80" w:after="40"/>
        <w:ind w:left="283"/>
      </w:pPr>
      <w:r>
        <w:rPr>
          <w:b/>
          <w:sz w:val="22"/>
        </w:rPr>
        <w:t>Cenário 3 — Informação não disponível em nenhuma das fontes consultadas</w:t>
      </w:r>
    </w:p>
    <w:p>
      <w:pPr>
        <w:spacing w:before="40" w:after="160"/>
        <w:jc w:val="left"/>
      </w:pPr>
      <w:r>
        <w:rPr>
          <w:b w:val="0"/>
          <w:sz w:val="22"/>
        </w:rPr>
        <w:t>Quando não for possível obter informação relevante em nenhuma das fontes — base de conhecimento interna ou sítio oficial —, o assistente apresenta uma resposta padrão informando o utilizador de que não dispõe de informação sobre aquele assunto específico. Neste caso, é sempre disponibilizada uma ligação direta ao canal tradicional de pedidos de informação da DGADR, assegurando que o utilizador dispõe sempre de uma alternativa formal para obter o esclarecimento pretendido.</w:t>
      </w:r>
    </w:p>
    <w:p>
      <w:pPr>
        <w:spacing w:before="0" w:after="120"/>
        <w:jc w:val="left"/>
      </w:pPr>
      <w:r>
        <w:rPr>
          <w:b w:val="0"/>
          <w:sz w:val="22"/>
        </w:rPr>
        <w:t>Em qualquer dos cenários, a interface mantém o histórico da conversa e permite ao utilizador continuar o diálogo, reformular a questão ou iniciar uma nova conversa em separador independente.</w:t>
      </w:r>
    </w:p>
    <w:p>
      <w:pPr>
        <w:spacing w:before="240" w:after="80"/>
      </w:pPr>
      <w:r>
        <w:rPr>
          <w:b/>
          <w:sz w:val="22"/>
        </w:rPr>
        <w:t>Como Utilizar</w:t>
      </w:r>
    </w:p>
    <w:p>
      <w:pPr>
        <w:spacing w:before="0" w:after="60"/>
        <w:jc w:val="left"/>
      </w:pPr>
      <w:r>
        <w:rPr>
          <w:b w:val="0"/>
          <w:sz w:val="22"/>
        </w:rPr>
        <w:t>O processo de utilização não exige qualquer conhecimento técnico:</w:t>
      </w:r>
    </w:p>
    <w:p>
      <w:pPr>
        <w:pStyle w:val="ListNumber"/>
        <w:spacing w:before="0" w:after="60"/>
        <w:ind w:left="567"/>
      </w:pPr>
      <w:r>
        <w:rPr>
          <w:sz w:val="22"/>
        </w:rPr>
        <w:t>O utilizador acede ao separador "Pedidos de Informação" na aplicação DGADR DigiSignage;</w:t>
      </w:r>
    </w:p>
    <w:p>
      <w:pPr>
        <w:pStyle w:val="ListNumber"/>
        <w:spacing w:before="0" w:after="60"/>
        <w:ind w:left="567"/>
      </w:pPr>
      <w:r>
        <w:rPr>
          <w:sz w:val="22"/>
        </w:rPr>
        <w:t>Escreve a sua questão em linguagem corrente (por exemplo: "Informações sobre gasóleo agrícola" ou "O que é o emparcelamento?");</w:t>
      </w:r>
    </w:p>
    <w:p>
      <w:pPr>
        <w:pStyle w:val="ListNumber"/>
        <w:spacing w:before="0" w:after="60"/>
        <w:ind w:left="567"/>
      </w:pPr>
      <w:r>
        <w:rPr>
          <w:sz w:val="22"/>
        </w:rPr>
        <w:t>O assistente processa a pergunta e apresenta a resposta adequada ao caso — contactos da divisão competente, informação retirada do sítio oficial, ou indicação de reencaminhamento para o canal tradicional;</w:t>
      </w:r>
    </w:p>
    <w:p>
      <w:pPr>
        <w:pStyle w:val="ListNumber"/>
        <w:spacing w:before="0" w:after="60"/>
        <w:ind w:left="567"/>
      </w:pPr>
      <w:r>
        <w:rPr>
          <w:sz w:val="22"/>
        </w:rPr>
        <w:t>Se a resposta incluir contactos telefónicos, estes surgirão como botões clicáveis, permitindo iniciar a chamada diretamente a partir da aplicação;</w:t>
      </w:r>
    </w:p>
    <w:p>
      <w:pPr>
        <w:pStyle w:val="ListNumber"/>
        <w:spacing w:before="0" w:after="60"/>
        <w:ind w:left="567"/>
      </w:pPr>
      <w:r>
        <w:rPr>
          <w:sz w:val="22"/>
        </w:rPr>
        <w:t>O utilizador pode continuar a conversa, abrir novos tópicos em separadores independentes ou aceder ao canal tradicional de pedidos de informação através da ligação disponível na interface.</w:t>
      </w:r>
    </w:p>
    <w:p>
      <w:pPr>
        <w:spacing w:before="240" w:after="80"/>
      </w:pPr>
      <w:r>
        <w:rPr>
          <w:b/>
          <w:sz w:val="22"/>
        </w:rPr>
        <w:t>Componentes Técnicas (Nota Simplificada)</w:t>
      </w:r>
    </w:p>
    <w:p>
      <w:pPr>
        <w:spacing w:before="0" w:after="60"/>
        <w:jc w:val="left"/>
      </w:pPr>
      <w:r>
        <w:rPr>
          <w:b w:val="0"/>
          <w:sz w:val="22"/>
        </w:rPr>
        <w:t>A solução assentará em quatro componentes principais, que funcionarão de forma integrada e transparente para o utilizador:</w:t>
      </w:r>
    </w:p>
    <w:p>
      <w:pPr>
        <w:spacing w:before="0" w:after="100"/>
        <w:ind w:left="567"/>
      </w:pPr>
      <w:r>
        <w:rPr>
          <w:b/>
          <w:sz w:val="22"/>
        </w:rPr>
        <w:t xml:space="preserve">• Base de Conhecimento Temática: </w:t>
      </w:r>
      <w:r>
        <w:rPr>
          <w:sz w:val="22"/>
        </w:rPr>
        <w:t>conjunto de documentos sobre as áreas de competência da DGADR e respetivos contactos por divisão, incorporados na aplicação, que suportam o Cenário 1 de resposta.</w:t>
      </w:r>
    </w:p>
    <w:p>
      <w:pPr>
        <w:spacing w:before="0" w:after="100"/>
        <w:ind w:left="567"/>
      </w:pPr>
      <w:r>
        <w:rPr>
          <w:b/>
          <w:sz w:val="22"/>
        </w:rPr>
        <w:t xml:space="preserve">• Pesquisa Web com Fundamentação: </w:t>
      </w:r>
      <w:r>
        <w:rPr>
          <w:sz w:val="22"/>
        </w:rPr>
        <w:t>quando a base de conhecimento não é suficiente, o assistente consulta automaticamente os sítios oficiais da DGADR e do Ministério da Agricultura, suportando o Cenário 2 de resposta.</w:t>
      </w:r>
    </w:p>
    <w:p>
      <w:pPr>
        <w:spacing w:before="0" w:after="100"/>
        <w:ind w:left="567"/>
      </w:pPr>
      <w:r>
        <w:rPr>
          <w:b/>
          <w:sz w:val="22"/>
        </w:rPr>
        <w:t xml:space="preserve">• Diretório de Contactos Integrado: </w:t>
      </w:r>
      <w:r>
        <w:rPr>
          <w:sz w:val="22"/>
        </w:rPr>
        <w:t>base de dados com os contactos das divisões internas da DGADR e das principais entidades externas do setor (IFAP, APA, DGAV, ICNF, CCDR, entre outras), apresentados como botões clicáveis para chamada direta.</w:t>
      </w:r>
    </w:p>
    <w:p>
      <w:pPr>
        <w:spacing w:before="0" w:after="100"/>
        <w:ind w:left="567"/>
      </w:pPr>
      <w:r>
        <w:rPr>
          <w:b/>
          <w:sz w:val="22"/>
        </w:rPr>
        <w:t xml:space="preserve">• Motor de Inteligência Artificial: </w:t>
      </w:r>
      <w:r>
        <w:rPr>
          <w:sz w:val="22"/>
        </w:rPr>
        <w:t>modelo de linguagem natural que interpreta as questões dos utilizadores, gere o fluxo de resposta entre os três cenários e garante comunicação em português claro e acessível.</w:t>
      </w:r>
    </w:p>
    <w:p>
      <w:pPr>
        <w:spacing w:before="240" w:after="80"/>
      </w:pPr>
      <w:r>
        <w:rPr>
          <w:b/>
          <w:sz w:val="22"/>
        </w:rPr>
        <w:t>Benefícios da Implementação</w:t>
      </w:r>
    </w:p>
    <w:p>
      <w:pPr>
        <w:spacing w:before="0" w:after="60"/>
        <w:jc w:val="left"/>
      </w:pPr>
      <w:r>
        <w:rPr>
          <w:b w:val="0"/>
          <w:sz w:val="22"/>
        </w:rPr>
        <w:t>A implementação desta funcionalidade apresenta, entre outras, as seguintes vantagens:</w:t>
      </w:r>
    </w:p>
    <w:p>
      <w:pPr>
        <w:pStyle w:val="ListBullet"/>
        <w:spacing w:before="0" w:after="60"/>
        <w:ind w:left="567"/>
      </w:pPr>
      <w:r>
        <w:rPr>
          <w:sz w:val="22"/>
        </w:rPr>
        <w:t>Disponibilidade permanente: o assistente estará acessível a qualquer hora, sem necessidade de aguardar horários de atendimento ou filas de espera;</w:t>
      </w:r>
    </w:p>
    <w:p>
      <w:pPr>
        <w:pStyle w:val="ListBullet"/>
        <w:spacing w:before="0" w:after="60"/>
        <w:ind w:left="567"/>
      </w:pPr>
      <w:r>
        <w:rPr>
          <w:sz w:val="22"/>
        </w:rPr>
        <w:t>Resposta imediata e direcionada: o utilizador é encaminhado diretamente para a divisão ou entidade competente, com os contactos necessários para prosseguir o pedido;</w:t>
      </w:r>
    </w:p>
    <w:p>
      <w:pPr>
        <w:pStyle w:val="ListBullet"/>
        <w:spacing w:before="0" w:after="60"/>
        <w:ind w:left="567"/>
      </w:pPr>
      <w:r>
        <w:rPr>
          <w:sz w:val="22"/>
        </w:rPr>
        <w:t>Cobertura progressiva: a lógica de três cenários garante que o utilizador recebe sempre uma resposta útil, mesmo quando o tema não consta da base de conhecimento;</w:t>
      </w:r>
    </w:p>
    <w:p>
      <w:pPr>
        <w:pStyle w:val="ListBullet"/>
        <w:spacing w:before="0" w:after="60"/>
        <w:ind w:left="567"/>
      </w:pPr>
      <w:r>
        <w:rPr>
          <w:sz w:val="22"/>
        </w:rPr>
        <w:t>Contacto direto facilitado: os números de telefone das divisões competentes surgem como botões clicáveis, eliminando a necessidade de procurar os contactos manualmente;</w:t>
      </w:r>
    </w:p>
    <w:p>
      <w:pPr>
        <w:pStyle w:val="ListBullet"/>
        <w:spacing w:before="0" w:after="60"/>
        <w:ind w:left="567"/>
      </w:pPr>
      <w:r>
        <w:rPr>
          <w:sz w:val="22"/>
        </w:rPr>
        <w:t>Redução da carga administrativa: ao encaminhar de forma autónoma um volume significativo de questões recorrentes, a funcionalidade liberta os colaboradores da DGADR para tarefas de maior valor acrescentado;</w:t>
      </w:r>
    </w:p>
    <w:p>
      <w:pPr>
        <w:pStyle w:val="ListBullet"/>
        <w:spacing w:before="0" w:after="60"/>
        <w:ind w:left="567"/>
      </w:pPr>
      <w:r>
        <w:rPr>
          <w:sz w:val="22"/>
        </w:rPr>
        <w:t>Acesso móvel e intuitivo: a interface de conversação é familiar para qualquer utilizador de telemóvel, não exigindo formação prévia;</w:t>
      </w:r>
    </w:p>
    <w:p>
      <w:pPr>
        <w:pStyle w:val="ListBullet"/>
        <w:spacing w:before="0" w:after="60"/>
        <w:ind w:left="567"/>
      </w:pPr>
      <w:r>
        <w:rPr>
          <w:sz w:val="22"/>
        </w:rPr>
        <w:t>Articulação com o canal formal: em todos os cenários, o utilizador tem acesso à ligação para o canal tradicional de pedidos de informação, assegurando a continuidade do serviço;</w:t>
      </w:r>
    </w:p>
    <w:p>
      <w:pPr>
        <w:pStyle w:val="ListBullet"/>
        <w:spacing w:before="0" w:after="60"/>
        <w:ind w:left="567"/>
      </w:pPr>
      <w:r>
        <w:rPr>
          <w:sz w:val="22"/>
        </w:rPr>
        <w:t>Informação baseada em fontes oficiais: as respostas assentam exclusivamente em conteúdos da base de conhecimento interna e dos sítios oficiais da DGADR e do Ministério da Agricultura.</w:t>
      </w:r>
    </w:p>
    <w:p>
      <w:pPr>
        <w:spacing w:before="240" w:after="80"/>
      </w:pPr>
      <w:r>
        <w:rPr>
          <w:b/>
          <w:sz w:val="22"/>
        </w:rPr>
        <w:t>Conclusão</w:t>
      </w:r>
    </w:p>
    <w:p>
      <w:pPr>
        <w:spacing w:before="0" w:after="120"/>
        <w:jc w:val="left"/>
      </w:pPr>
      <w:r>
        <w:rPr>
          <w:b w:val="0"/>
          <w:sz w:val="22"/>
        </w:rPr>
        <w:t>A criação de uma funcionalidade de Pedidos de Informação na aplicação DGADR DigiSignage constituirá uma melhoria concreta e significativa na forma como a DGADR presta informação ao cidadão. A lógica de resposta em três cenários — encaminhamento para a divisão competente com contactos diretos, pesquisa no sítio oficial, ou indicação de reencaminhamento para o canal formal — garante que o utilizador dispõe sempre de uma resposta útil, independentemente da especificidade da questão colocada.</w:t>
      </w:r>
    </w:p>
    <w:p>
      <w:pPr>
        <w:spacing w:before="0" w:after="120"/>
        <w:jc w:val="left"/>
      </w:pPr>
      <w:r>
        <w:rPr>
          <w:b w:val="0"/>
          <w:sz w:val="22"/>
        </w:rPr>
        <w:t>A proposta é tecnicamente exequível no âmbito da aplicação DGADR DigiSignage já em desenvolvimento, não exigindo infraestrutura adicional de relevo, e o seu impacto positivo na qualidade do serviço prestado ao cidadão é imediato e mensurável. O protótipo disponível para demonstração permite validar o conceito antes de qualquer decisão de implementação definitiva.</w:t>
      </w:r>
    </w:p>
    <w:p>
      <w:pPr>
        <w:spacing w:before="0" w:after="400"/>
        <w:jc w:val="left"/>
      </w:pPr>
      <w:r>
        <w:rPr>
          <w:b w:val="0"/>
          <w:sz w:val="22"/>
        </w:rPr>
        <w:t>Pelo exposto, o signatário propõe superiormente, a título de melhoria, a criação de uma funcionalidade de Pedidos de Informação na aplicação DGADR DigiSignage, como medida de reforço da qualidade do serviço prestado ao cidadão, de modernização dos canais de comunicação institucional e de racionalização dos processos de resposta a pedidos de informação.</w:t>
      </w:r>
    </w:p>
    <w:p>
      <w:pPr>
        <w:spacing w:before="240" w:after="40"/>
        <w:jc w:val="left"/>
      </w:pPr>
      <w:r>
        <w:rPr>
          <w:b w:val="0"/>
          <w:sz w:val="22"/>
        </w:rPr>
        <w:t>____________________________</w:t>
      </w:r>
    </w:p>
    <w:p>
      <w:pPr>
        <w:spacing w:before="0" w:after="40"/>
        <w:jc w:val="left"/>
      </w:pPr>
      <w:r>
        <w:rPr>
          <w:b w:val="0"/>
          <w:sz w:val="22"/>
        </w:rPr>
        <w:t>(Dinis Costa)</w:t>
      </w:r>
    </w:p>
    <w:p>
      <w:pPr>
        <w:spacing w:before="0" w:after="40"/>
        <w:jc w:val="left"/>
      </w:pPr>
      <w:r>
        <w:rPr>
          <w:b w:val="0"/>
          <w:sz w:val="22"/>
        </w:rPr>
        <w:t>(Técnico Superior)</w:t>
      </w:r>
    </w:p>
    <w:p>
      <w:r>
        <w:br w:type="page"/>
      </w:r>
    </w:p>
    <w:p>
      <w:pPr>
        <w:spacing w:before="0" w:after="120"/>
      </w:pPr>
      <w:r>
        <w:rPr>
          <w:b/>
          <w:sz w:val="24"/>
        </w:rPr>
        <w:t>Anexo I</w:t>
      </w:r>
    </w:p>
    <w:p>
      <w:pPr>
        <w:spacing w:before="0" w:after="200"/>
      </w:pPr>
      <w:r>
        <w:rPr>
          <w:b/>
          <w:sz w:val="22"/>
        </w:rPr>
        <w:t>Protótipo da Funcionalidade de Pedidos de Informação</w:t>
      </w:r>
    </w:p>
    <w:p>
      <w:pPr>
        <w:spacing w:before="0" w:after="200"/>
        <w:jc w:val="left"/>
      </w:pPr>
      <w:r>
        <w:rPr>
          <w:b w:val="0"/>
          <w:sz w:val="22"/>
        </w:rPr>
        <w:t>As imagens seguintes ilustram o protótipo da funcionalidade de Pedidos de Informação desenvolvido no âmbito da aplicação DGADR DigiSignage, demonstrando os três cenários de resposta descritos na presente proposta.</w:t>
      </w:r>
    </w:p>
    <w:p>
      <w:pPr>
        <w:spacing w:before="120" w:after="80"/>
        <w:ind w:left="283"/>
      </w:pPr>
      <w:r>
        <w:rPr>
          <w:b/>
          <w:sz w:val="20"/>
        </w:rPr>
        <w:t xml:space="preserve">[Imagem] </w:t>
      </w:r>
      <w:r>
        <w:rPr>
          <w:sz w:val="20"/>
        </w:rPr>
        <w:t>Figura 1 — Cenário 1: Questão sobre emparcelamento — o assistente identifica a divisão competente (DAEA) e apresenta os contactos diretos.</w:t>
      </w:r>
    </w:p>
    <w:p>
      <w:pPr>
        <w:spacing w:before="120" w:after="80"/>
        <w:ind w:left="283"/>
      </w:pPr>
      <w:r>
        <w:rPr>
          <w:b/>
          <w:sz w:val="20"/>
        </w:rPr>
        <w:t xml:space="preserve">[Imagem] </w:t>
      </w:r>
      <w:r>
        <w:rPr>
          <w:sz w:val="20"/>
        </w:rPr>
        <w:t>Figura 2 — Cenário 2: Questão sobre as antigas DRAP — o assistente responde com base em informação encontrada nas fontes oficiais.</w:t>
      </w:r>
    </w:p>
    <w:p>
      <w:pPr>
        <w:spacing w:before="120" w:after="80"/>
        <w:ind w:left="283"/>
      </w:pPr>
      <w:r>
        <w:rPr>
          <w:b/>
          <w:sz w:val="20"/>
        </w:rPr>
        <w:t xml:space="preserve">[Imagem] </w:t>
      </w:r>
      <w:r>
        <w:rPr>
          <w:sz w:val="20"/>
        </w:rPr>
        <w:t>Figura 3 — Cenário 1: Questão sobre gasóleo agrícola — encaminhamento para a DAEA com botões de chamada direta.</w:t>
      </w:r>
    </w:p>
    <w:p>
      <w:pPr>
        <w:spacing w:before="0" w:after="80"/>
        <w:jc w:val="left"/>
      </w:pPr>
    </w:p>
    <w:p>
      <w:pPr>
        <w:spacing w:before="0" w:after="80"/>
        <w:jc w:val="left"/>
      </w:pPr>
      <w:r>
        <w:rPr>
          <w:b w:val="0"/>
          <w:sz w:val="20"/>
        </w:rPr>
        <w:t>Nota: As imagens do protótipo serão anexadas em ficheiro separado ou incorporadas na versão final do documento, conforme indicação superior.</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