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DCEBD" w14:textId="77777777" w:rsidR="004045AD" w:rsidRPr="004045AD" w:rsidRDefault="004045AD" w:rsidP="004045AD">
      <w:pPr>
        <w:spacing w:line="276" w:lineRule="auto"/>
        <w:jc w:val="center"/>
        <w:rPr>
          <w:rFonts w:ascii="Times New Roman" w:hAnsi="Times New Roman" w:cs="Times New Roman"/>
          <w:b/>
          <w:bCs/>
          <w:sz w:val="28"/>
          <w:szCs w:val="28"/>
        </w:rPr>
      </w:pPr>
      <w:r w:rsidRPr="004045AD">
        <w:rPr>
          <w:rFonts w:ascii="Times New Roman" w:hAnsi="Times New Roman" w:cs="Times New Roman"/>
          <w:b/>
          <w:bCs/>
          <w:sz w:val="28"/>
          <w:szCs w:val="28"/>
        </w:rPr>
        <w:t xml:space="preserve">PHY 481 Midterm: </w:t>
      </w:r>
    </w:p>
    <w:p w14:paraId="3096EA8B" w14:textId="186B8018" w:rsidR="0075741B" w:rsidRPr="004045AD" w:rsidRDefault="0075741B" w:rsidP="004045AD">
      <w:pPr>
        <w:spacing w:line="276" w:lineRule="auto"/>
        <w:jc w:val="center"/>
        <w:rPr>
          <w:rFonts w:ascii="Times New Roman" w:hAnsi="Times New Roman" w:cs="Times New Roman"/>
          <w:sz w:val="28"/>
          <w:szCs w:val="28"/>
        </w:rPr>
      </w:pPr>
      <w:r w:rsidRPr="003A4782">
        <w:rPr>
          <w:rFonts w:ascii="Times New Roman" w:hAnsi="Times New Roman" w:cs="Times New Roman"/>
          <w:b/>
          <w:bCs/>
          <w:sz w:val="28"/>
          <w:szCs w:val="28"/>
        </w:rPr>
        <w:t>Quantification of Photon Flux of UV-LED Drive</w:t>
      </w:r>
      <w:r w:rsidR="004045AD">
        <w:rPr>
          <w:rFonts w:ascii="Times New Roman" w:hAnsi="Times New Roman" w:cs="Times New Roman"/>
          <w:b/>
          <w:bCs/>
          <w:sz w:val="28"/>
          <w:szCs w:val="28"/>
        </w:rPr>
        <w:t xml:space="preserve">n </w:t>
      </w:r>
      <w:r w:rsidRPr="003A4782">
        <w:rPr>
          <w:rFonts w:ascii="Times New Roman" w:hAnsi="Times New Roman" w:cs="Times New Roman"/>
          <w:b/>
          <w:bCs/>
          <w:sz w:val="28"/>
          <w:szCs w:val="28"/>
        </w:rPr>
        <w:t>Photocatalysis</w:t>
      </w:r>
    </w:p>
    <w:p w14:paraId="461E179E" w14:textId="77777777" w:rsidR="0075741B" w:rsidRPr="003A4782" w:rsidRDefault="0075741B" w:rsidP="004045AD">
      <w:pPr>
        <w:spacing w:line="276" w:lineRule="auto"/>
        <w:jc w:val="center"/>
        <w:rPr>
          <w:rFonts w:ascii="Times New Roman" w:hAnsi="Times New Roman" w:cs="Times New Roman"/>
          <w:sz w:val="28"/>
          <w:szCs w:val="28"/>
        </w:rPr>
      </w:pPr>
      <w:r w:rsidRPr="003A4782">
        <w:rPr>
          <w:rFonts w:ascii="Times New Roman" w:hAnsi="Times New Roman" w:cs="Times New Roman"/>
          <w:sz w:val="28"/>
          <w:szCs w:val="28"/>
        </w:rPr>
        <w:t>Student Researcher: Niall O Gushue</w:t>
      </w:r>
    </w:p>
    <w:p w14:paraId="1CFCEFAF" w14:textId="4FE93C60" w:rsidR="0075741B" w:rsidRDefault="0075741B" w:rsidP="004045AD">
      <w:pPr>
        <w:spacing w:line="276" w:lineRule="auto"/>
        <w:jc w:val="center"/>
        <w:rPr>
          <w:rFonts w:ascii="Times New Roman" w:hAnsi="Times New Roman" w:cs="Times New Roman"/>
          <w:sz w:val="28"/>
          <w:szCs w:val="28"/>
        </w:rPr>
      </w:pPr>
      <w:r w:rsidRPr="003A4782">
        <w:rPr>
          <w:rFonts w:ascii="Times New Roman" w:hAnsi="Times New Roman" w:cs="Times New Roman"/>
          <w:sz w:val="28"/>
          <w:szCs w:val="28"/>
        </w:rPr>
        <w:t>Advisor: Dr. Brian Frederick</w:t>
      </w:r>
    </w:p>
    <w:p w14:paraId="6277D7F4" w14:textId="77777777" w:rsidR="004045AD" w:rsidRDefault="004045AD" w:rsidP="004045AD">
      <w:pPr>
        <w:spacing w:line="480" w:lineRule="auto"/>
        <w:ind w:firstLine="720"/>
        <w:jc w:val="both"/>
        <w:rPr>
          <w:rFonts w:ascii="Times New Roman" w:hAnsi="Times New Roman" w:cs="Times New Roman"/>
        </w:rPr>
      </w:pPr>
    </w:p>
    <w:p w14:paraId="163B9A75" w14:textId="7FD8B6E4" w:rsidR="0075741B" w:rsidRPr="0075741B" w:rsidRDefault="0075741B" w:rsidP="004045AD">
      <w:pPr>
        <w:spacing w:line="480" w:lineRule="auto"/>
        <w:ind w:firstLine="720"/>
        <w:jc w:val="both"/>
        <w:rPr>
          <w:rFonts w:ascii="Times New Roman" w:hAnsi="Times New Roman" w:cs="Times New Roman"/>
        </w:rPr>
      </w:pPr>
      <w:r w:rsidRPr="0075741B">
        <w:rPr>
          <w:rFonts w:ascii="Times New Roman" w:hAnsi="Times New Roman" w:cs="Times New Roman"/>
        </w:rPr>
        <w:t>In our study we aim to quantify the photon flux of our UV-LED’s and apply this information to various photocatalytic reactions such as the degradation of methyl orange</w:t>
      </w:r>
      <w:bookmarkStart w:id="0" w:name="ZOTERO_TEMP_BOOKMARK"/>
      <w:r w:rsidR="001A2A7A">
        <w:rPr>
          <w:rFonts w:ascii="Times New Roman" w:hAnsi="Times New Roman" w:cs="Times New Roman"/>
          <w:kern w:val="0"/>
          <w:vertAlign w:val="superscript"/>
        </w:rPr>
        <w:t>1</w:t>
      </w:r>
      <w:bookmarkEnd w:id="0"/>
      <w:r>
        <w:rPr>
          <w:rFonts w:ascii="Times New Roman" w:hAnsi="Times New Roman" w:cs="Times New Roman"/>
        </w:rPr>
        <w:fldChar w:fldCharType="begin"/>
      </w:r>
      <w:r>
        <w:rPr>
          <w:rFonts w:ascii="Times New Roman" w:hAnsi="Times New Roman" w:cs="Times New Roman"/>
        </w:rPr>
        <w:instrText xml:space="preserve"> ADDIN ZOTERO_ITEM CSL_CITATION {"citationID":"VZqTpeJM","properties":{"formattedCitation":"\\super 1\\nosupersub{}","plainCitation":"1","noteIndex":0},"citationItems":[{"id":238,"uris":["http://zotero.org/users/local/TS4rKlnP/items/VYPXFVKZ"],"itemData":{"id":238,"type":"article-journal","abstract":"In recent years, growing concerned has been raised to the global problem of the drainage of organic pollutants into water steams.\n          , \n            \n              In recent years, growing concerned has been raised to the global problem of the drainage of organic pollutants into water steams. Therefore, a great demand has been raised for the development of efficient technologies for the treatment of wastewater pollution. The photocatalytic oxidation of organic pollutants under visible-light irradiation has several advantages for the remediation of wastewater compared to other conventional adsorption techniques. This study reports a rapid and morphology controlled synthesis of anionic 1D S-doped TiO\n              2\n              photocatalysts by a facile and efficient oxidant peroxide route (OPM), followed by crystallization through a hydrothermal method. In particular, S-doping into the TiO\n              2\n              crystal lattice and the formation of S–Ti–O bonds were confirmed by structural characterization of the as-prepared samples with the help of X-ray photoelectron spectroscopy, X-ray diffraction, UV-vis diffuse reflectance spectroscopy, and photoluminescence spectroscopy. The as-prepared S-doped TiO\n              2\n              photocatalysts showed enhanced photocatalytic activity for the liquid phase degradation of an organic compound (methyl orange) under visible-light irradiation (&gt;420 nm) compared to the undoped TiO\n              2\n              . To extend the viability for the photocatalytic activity of the as-prepared S-doped TiO\n              2\n              nanorods, other organic compounds (RhB and phenol) were also tested in photodegradation experiments. The promising effects of OPM treatment for S-doping and the enhanced photocatalytic performance were observed to be due to the large porous channels of nanorods, pure anatase phase crystallization, the high surface area, excellent stability from photocorrosion, enhanced absorbance shifts toward the visible-light region, improved effective interfacial charge transfer, and enhanced efficiency for the separation of photoinduced electron–hole pairs. The optimum photocatalytic activity was achieved for the ATO-3 sample for the degradation of the organic compounds under visible-light irradiation and was </w:instrText>
      </w:r>
      <w:r>
        <w:rPr>
          <w:rFonts w:ascii="Cambria Math" w:hAnsi="Cambria Math" w:cs="Cambria Math"/>
        </w:rPr>
        <w:instrText>∼</w:instrText>
      </w:r>
      <w:r>
        <w:rPr>
          <w:rFonts w:ascii="Times New Roman" w:hAnsi="Times New Roman" w:cs="Times New Roman"/>
        </w:rPr>
        <w:instrText xml:space="preserve">8.12 times higher for MO compared to undoped TiO\n              2\n              . The synergistic effect and role of the active species,\n              i.e.\n              , superoxide radical anions (\n              ˙\n              O\n              2\n              −\n              ) and holes (h\n              +\n              ), on the photocatalysis mechanism for the degradation of organic pollutants are discussed in detail.","container-title":"RSC Advances","DOI":"10.1039/C6RA03819K","ISSN":"2046-2069","issue":"43","journalAbbreviation":"RSC Adv.","language":"en","page":"36516-36527","source":"DOI.org (Crossref)","title":"Rapid and morphology controlled synthesis of anionic S-doped TiO &lt;sub&gt;2&lt;/sub&gt; photocatalysts for the visible-light-driven photodegradation of organic pollutants","volume":"6","author":[{"family":"Bakar","given":"Shahzad Abu"},{"family":"Ribeiro","given":"Caue"}],"issued":{"date-parts":[["2016"]]}}}],"schema":"https://github.com/citation-style-language/schema/raw/master/csl-citation.json"} </w:instrText>
      </w:r>
      <w:r>
        <w:rPr>
          <w:rFonts w:ascii="Times New Roman" w:hAnsi="Times New Roman" w:cs="Times New Roman"/>
        </w:rPr>
        <w:fldChar w:fldCharType="separate"/>
      </w:r>
      <w:r w:rsidRPr="0075741B">
        <w:rPr>
          <w:rFonts w:ascii="Times New Roman" w:hAnsi="Times New Roman" w:cs="Times New Roman"/>
          <w:kern w:val="0"/>
          <w:vertAlign w:val="superscript"/>
        </w:rPr>
        <w:t>1</w:t>
      </w:r>
      <w:r>
        <w:rPr>
          <w:rFonts w:ascii="Times New Roman" w:hAnsi="Times New Roman" w:cs="Times New Roman"/>
        </w:rPr>
        <w:fldChar w:fldCharType="end"/>
      </w:r>
      <w:r w:rsidRPr="0075741B">
        <w:rPr>
          <w:rFonts w:ascii="Times New Roman" w:hAnsi="Times New Roman" w:cs="Times New Roman"/>
        </w:rPr>
        <w:t xml:space="preserve"> and the photocatalytic conversion of methane to methanol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{"citationID":"6qwDaxoe","properties":{"formattedCitation":"\\super 2\\nosupersub{}","plainCitation":"2","noteIndex":0},"citationItems":[{"id":78,"uris":["http://zotero.org/users/local/TS4rKlnP/items/N5A9P4UT"],"itemData":{"id":78,"type":"article-journal","abstract":"Laser induced conversion of methane into methanol over WO3, TiO2 (rutile) and NiO semiconductor photocatalysts, at room temperature, under the irradiation of a strong UV laser beam at 355 nm has been studied for the ﬁrst time. In addition to monitoring the yield of the targeted product methanol, the yield of hydrogen, produced as by-product, was also monitored. The comparison of the amount of hydrogen produced in the presence and absence of methane was used to assess the mechanism of degradation of methanol immediately after its formation in the aqueous suspension.","container-title":"Chemical Physics Letters","DOI":"10.1016/j.cplett.2004.05.092","ISSN":"00092614","issue":"4-6","journalAbbreviation":"Chemical Physics Letters","language":"en","page":"372-377","source":"DOI.org (Crossref)","title":"Photocatalytic transformation of methane into methanol under UV laser irradiation over WO3, TiO2 and NiO catalysts","volume":"392","author":[{"family":"Gondal","given":"M.A"},{"family":"Hameed","given":"A"},{"family":"Yamani","given":"Z.H"},{"family":"Arfaj","given":"A"}],"issued":{"date-parts":[["2004",7]]}}}],"schema":"https://github.com/citation-style-language/schema/raw/master/csl-citation.json"} </w:instrText>
      </w:r>
      <w:r>
        <w:rPr>
          <w:rFonts w:ascii="Times New Roman" w:hAnsi="Times New Roman" w:cs="Times New Roman"/>
        </w:rPr>
        <w:fldChar w:fldCharType="separate"/>
      </w:r>
      <w:r w:rsidRPr="0075741B">
        <w:rPr>
          <w:rFonts w:ascii="Times New Roman" w:hAnsi="Times New Roman" w:cs="Times New Roman"/>
          <w:kern w:val="0"/>
          <w:vertAlign w:val="superscript"/>
        </w:rPr>
        <w:t>2</w:t>
      </w:r>
      <w:r>
        <w:rPr>
          <w:rFonts w:ascii="Times New Roman" w:hAnsi="Times New Roman" w:cs="Times New Roman"/>
        </w:rPr>
        <w:fldChar w:fldCharType="end"/>
      </w:r>
      <w:r w:rsidRPr="0075741B">
        <w:rPr>
          <w:rFonts w:ascii="Times New Roman" w:hAnsi="Times New Roman" w:cs="Times New Roman"/>
        </w:rPr>
        <w:t xml:space="preserve"> In Phase 1 of the project we worked on engineering a constant current power supply capable of powering the previously designed UV-LED lamps. We ordered a 12V DC power supply from digikey that comfortably powers the two UV-LED lamp design (V</w:t>
      </w:r>
      <w:r w:rsidRPr="0075741B">
        <w:rPr>
          <w:rFonts w:ascii="Times New Roman" w:hAnsi="Times New Roman" w:cs="Times New Roman"/>
          <w:vertAlign w:val="subscript"/>
        </w:rPr>
        <w:t>min</w:t>
      </w:r>
      <w:r w:rsidRPr="0075741B">
        <w:rPr>
          <w:rFonts w:ascii="Times New Roman" w:hAnsi="Times New Roman" w:cs="Times New Roman"/>
        </w:rPr>
        <w:t xml:space="preserve"> = 7.4V). Wired connections were made to the live (black), neutral (white), and ground (green) components of the power supply to allow it to be plugged into the 120V wall socket (Figure 1).</w:t>
      </w:r>
    </w:p>
    <w:p w14:paraId="0DFEDCBC" w14:textId="541CF72B" w:rsidR="0075741B" w:rsidRDefault="0075741B" w:rsidP="004045AD">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4318BD" wp14:editId="0DDF2F72">
            <wp:extent cx="3556652" cy="1685230"/>
            <wp:effectExtent l="0" t="0" r="0" b="4445"/>
            <wp:docPr id="23266125" name="Picture 1" descr="A collage of a computer and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125" name="Picture 1" descr="A collage of a computer and a machi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08894" cy="1709983"/>
                    </a:xfrm>
                    <a:prstGeom prst="rect">
                      <a:avLst/>
                    </a:prstGeom>
                  </pic:spPr>
                </pic:pic>
              </a:graphicData>
            </a:graphic>
          </wp:inline>
        </w:drawing>
      </w:r>
    </w:p>
    <w:p w14:paraId="4E22DFB5" w14:textId="57845C51" w:rsidR="0075741B" w:rsidRPr="0075741B" w:rsidRDefault="0075741B" w:rsidP="004045AD">
      <w:pPr>
        <w:spacing w:line="276"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00BB66EB">
        <w:rPr>
          <w:rFonts w:ascii="Times New Roman" w:hAnsi="Times New Roman" w:cs="Times New Roman"/>
          <w:sz w:val="20"/>
          <w:szCs w:val="20"/>
        </w:rPr>
        <w:tab/>
      </w:r>
      <w:r>
        <w:rPr>
          <w:rFonts w:ascii="Times New Roman" w:hAnsi="Times New Roman" w:cs="Times New Roman"/>
          <w:sz w:val="20"/>
          <w:szCs w:val="20"/>
        </w:rPr>
        <w:t>Figure 1. A) Power supply before connections and B) after connection were made</w:t>
      </w:r>
    </w:p>
    <w:p w14:paraId="61E7F646" w14:textId="122B1D95" w:rsidR="0075741B" w:rsidRDefault="0075741B" w:rsidP="004045AD">
      <w:pPr>
        <w:spacing w:line="480" w:lineRule="auto"/>
        <w:jc w:val="both"/>
        <w:rPr>
          <w:rFonts w:ascii="Times New Roman" w:hAnsi="Times New Roman" w:cs="Times New Roman"/>
        </w:rPr>
      </w:pPr>
      <w:r>
        <w:rPr>
          <w:rFonts w:ascii="Times New Roman" w:hAnsi="Times New Roman" w:cs="Times New Roman"/>
        </w:rPr>
        <w:t xml:space="preserve">The 120V wall socket was measured with a multimeter to determine the live, neutral, and ground components of the socket and cross-checked to ensure compatibility with that of the power supply’s plug. Due to safety concerns, the power supply has not yet been plugged into the wall socket as supervision from the research advisor for this task is necessary. The next step of </w:t>
      </w:r>
      <w:r>
        <w:rPr>
          <w:rFonts w:ascii="Times New Roman" w:hAnsi="Times New Roman" w:cs="Times New Roman"/>
        </w:rPr>
        <w:lastRenderedPageBreak/>
        <w:t>engineering the power supply was to design the “constant current” component. The idea for the design of this circuit was to choose the simplest circuit possible. We played with the idea of using various diode and transistor circuits, but eventually decided to use the circuit element known as an LM317 due to the complexity of these transistor circuits. An LM317 is an adjustable positive linear voltage regular that can be operated using an input voltage between 3 – 40 V, but will always deliver an output voltage of V</w:t>
      </w:r>
      <w:r>
        <w:rPr>
          <w:rFonts w:ascii="Times New Roman" w:hAnsi="Times New Roman" w:cs="Times New Roman"/>
          <w:vertAlign w:val="subscript"/>
        </w:rPr>
        <w:t>out</w:t>
      </w:r>
      <w:r>
        <w:rPr>
          <w:rFonts w:ascii="Times New Roman" w:hAnsi="Times New Roman" w:cs="Times New Roman"/>
        </w:rPr>
        <w:t xml:space="preserve"> = 1.2 </w:t>
      </w:r>
      <w:r w:rsidRPr="0075741B">
        <w:rPr>
          <w:rFonts w:ascii="Times New Roman" w:hAnsi="Times New Roman" w:cs="Times New Roman"/>
        </w:rPr>
        <w:t>±</w:t>
      </w:r>
      <w:r>
        <w:rPr>
          <w:rFonts w:ascii="Times New Roman" w:hAnsi="Times New Roman" w:cs="Times New Roman"/>
        </w:rPr>
        <w:t xml:space="preserve"> 0.05 V. The LM317 has an input, output, and adjust terminal; the adjust terminal ensures the output terminal voltage is always 1.2 V higher. Using the properties of the LM317 a functional constant current circuit powered by the 12V power supply was developed as illustrated in Figure 2.</w:t>
      </w:r>
    </w:p>
    <w:p w14:paraId="1E99D539" w14:textId="7E4E117C" w:rsidR="0075741B" w:rsidRDefault="0075741B" w:rsidP="004045A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4A0500E" wp14:editId="56C9917C">
            <wp:extent cx="3522594" cy="1118876"/>
            <wp:effectExtent l="0" t="0" r="0" b="0"/>
            <wp:docPr id="1010958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8248" name="Picture 10109582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95674" cy="1142088"/>
                    </a:xfrm>
                    <a:prstGeom prst="rect">
                      <a:avLst/>
                    </a:prstGeom>
                  </pic:spPr>
                </pic:pic>
              </a:graphicData>
            </a:graphic>
          </wp:inline>
        </w:drawing>
      </w:r>
    </w:p>
    <w:p w14:paraId="1FF6807C" w14:textId="461E8612" w:rsidR="0075741B" w:rsidRDefault="0075741B" w:rsidP="004045AD">
      <w:pPr>
        <w:spacing w:line="276" w:lineRule="auto"/>
        <w:jc w:val="center"/>
        <w:rPr>
          <w:rFonts w:ascii="Times New Roman" w:hAnsi="Times New Roman" w:cs="Times New Roman"/>
          <w:sz w:val="20"/>
          <w:szCs w:val="20"/>
        </w:rPr>
      </w:pPr>
      <w:r w:rsidRPr="0075741B">
        <w:rPr>
          <w:rFonts w:ascii="Times New Roman" w:hAnsi="Times New Roman" w:cs="Times New Roman"/>
          <w:sz w:val="20"/>
          <w:szCs w:val="20"/>
        </w:rPr>
        <w:t>Figure 2</w:t>
      </w:r>
      <w:r>
        <w:rPr>
          <w:rFonts w:ascii="Times New Roman" w:hAnsi="Times New Roman" w:cs="Times New Roman"/>
          <w:sz w:val="20"/>
          <w:szCs w:val="20"/>
        </w:rPr>
        <w:t>. LM317 motivated constant current power supply circuit</w:t>
      </w:r>
    </w:p>
    <w:p w14:paraId="1DD9008A" w14:textId="41B08D06" w:rsidR="0075741B" w:rsidRDefault="0075741B" w:rsidP="004045AD">
      <w:pPr>
        <w:spacing w:line="480" w:lineRule="auto"/>
        <w:rPr>
          <w:rFonts w:ascii="Times New Roman" w:hAnsi="Times New Roman" w:cs="Times New Roman"/>
        </w:rPr>
      </w:pPr>
      <w:r>
        <w:rPr>
          <w:rFonts w:ascii="Times New Roman" w:hAnsi="Times New Roman" w:cs="Times New Roman"/>
        </w:rPr>
        <w:t>The limited current (I</w:t>
      </w:r>
      <w:r>
        <w:rPr>
          <w:rFonts w:ascii="Times New Roman" w:hAnsi="Times New Roman" w:cs="Times New Roman"/>
          <w:vertAlign w:val="subscript"/>
        </w:rPr>
        <w:t>lim</w:t>
      </w:r>
      <w:r>
        <w:rPr>
          <w:rFonts w:ascii="Times New Roman" w:hAnsi="Times New Roman" w:cs="Times New Roman"/>
        </w:rPr>
        <w:t>) of this circuit can be controlled by the adjustable resistor of this circuit described by Equation 1.</w:t>
      </w:r>
    </w:p>
    <w:p w14:paraId="2AB93C3F" w14:textId="77777777" w:rsidR="0075741B" w:rsidRPr="0075741B" w:rsidRDefault="00000000" w:rsidP="004045AD">
      <w:pPr>
        <w:spacing w:line="480" w:lineRule="auto"/>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lim</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1.2V</m:t>
            </m:r>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den>
        </m:f>
      </m:oMath>
      <w:r w:rsidR="0075741B">
        <w:rPr>
          <w:rFonts w:ascii="Times New Roman" w:eastAsiaTheme="minorEastAsia" w:hAnsi="Times New Roman" w:cs="Times New Roman"/>
        </w:rPr>
        <w:t xml:space="preserve">  </w:t>
      </w:r>
      <w:r w:rsidR="0075741B">
        <w:rPr>
          <w:rFonts w:ascii="Times New Roman" w:eastAsiaTheme="minorEastAsia" w:hAnsi="Times New Roman" w:cs="Times New Roman"/>
        </w:rPr>
        <w:tab/>
        <w:t>(1)</w:t>
      </w:r>
    </w:p>
    <w:p w14:paraId="52F10ABA" w14:textId="12AB3DE6" w:rsidR="0075741B" w:rsidRPr="0075741B" w:rsidRDefault="0075741B" w:rsidP="004045AD">
      <w:pPr>
        <w:spacing w:line="480" w:lineRule="auto"/>
        <w:jc w:val="both"/>
        <w:rPr>
          <w:rFonts w:ascii="Times New Roman" w:hAnsi="Times New Roman" w:cs="Times New Roman"/>
        </w:rPr>
      </w:pPr>
      <w:r>
        <w:rPr>
          <w:rFonts w:ascii="Times New Roman" w:hAnsi="Times New Roman" w:cs="Times New Roman"/>
        </w:rPr>
        <w:t>The standard current for running photocatalytic reactions with UV-LEDs is 500mA, therefore the necessary resistance of the adjustable resistor (Ω</w:t>
      </w:r>
      <w:r>
        <w:rPr>
          <w:rFonts w:ascii="Times New Roman" w:hAnsi="Times New Roman" w:cs="Times New Roman"/>
          <w:vertAlign w:val="subscript"/>
        </w:rPr>
        <w:t>max</w:t>
      </w:r>
      <w:r>
        <w:rPr>
          <w:rFonts w:ascii="Times New Roman" w:hAnsi="Times New Roman" w:cs="Times New Roman"/>
        </w:rPr>
        <w:t xml:space="preserve"> = 5Ω) should be 2.4 Ω for these experiments. Unfortunately, there are two constraints to the current power supply design; 1) the chosen power supply voltage output limits the number of LEDs on the lamps to three LEDs (V</w:t>
      </w:r>
      <w:r>
        <w:rPr>
          <w:rFonts w:ascii="Times New Roman" w:hAnsi="Times New Roman" w:cs="Times New Roman"/>
          <w:vertAlign w:val="subscript"/>
        </w:rPr>
        <w:t>max</w:t>
      </w:r>
      <w:r>
        <w:rPr>
          <w:rFonts w:ascii="Times New Roman" w:hAnsi="Times New Roman" w:cs="Times New Roman"/>
        </w:rPr>
        <w:t xml:space="preserve"> = 11.1 V) and 2) the adjustable resistors have a maximum resistance of 5Ω and can only limit the current to a </w:t>
      </w:r>
      <w:r>
        <w:rPr>
          <w:rFonts w:ascii="Times New Roman" w:hAnsi="Times New Roman" w:cs="Times New Roman"/>
        </w:rPr>
        <w:lastRenderedPageBreak/>
        <w:t>minimum of 240 mA which is well above the desired limited current of 10 mA. Therefore a resistor of ~120 Ω is necessary to make measurements with the integrating sphere.</w:t>
      </w:r>
    </w:p>
    <w:p w14:paraId="5126E843" w14:textId="5D556066" w:rsidR="0075741B" w:rsidRDefault="00CC4F41" w:rsidP="004045AD">
      <w:pPr>
        <w:spacing w:line="480" w:lineRule="auto"/>
        <w:ind w:firstLine="720"/>
        <w:jc w:val="both"/>
        <w:rPr>
          <w:rFonts w:ascii="Times New Roman" w:hAnsi="Times New Roman" w:cs="Times New Roman"/>
        </w:rPr>
      </w:pPr>
      <w:r w:rsidRPr="0075741B">
        <w:rPr>
          <w:rFonts w:ascii="Times New Roman" w:hAnsi="Times New Roman" w:cs="Times New Roman"/>
        </w:rPr>
        <w:t>To quantify the photon flux of the UV-LEDs with our ocean optics integrating sphere, we must use software the compatible with this instrument. The integrating sphere must be calibrated with a calibration light source before any measurements photon flux measurements can be made. We downloaded the ocean optics software on an old computer running Windows XP and acquired an ocean optics calibrating light source (LS-1-CAL). We familiarized ourselves with the ocean optics software and investigated a method for calibrating the integrating sphere and developed a procedure for calibrating the integrating sphere with the calibration light source</w:t>
      </w:r>
      <w:r w:rsidR="0075741B">
        <w:rPr>
          <w:rFonts w:ascii="Times New Roman" w:hAnsi="Times New Roman" w:cs="Times New Roman"/>
        </w:rPr>
        <w:t xml:space="preserve">. To properly calibrate the light source, the software manual recommends an intensity of 3500 counts which requires an integration time of 4500 ms. Due to the low processing capability of the computer being used, the computer tends to crash upon trying to start an absolute irradiation measurement necessary for calibration. To prevent the system from crashing, the program must be allowed to run for ~1 hour after changing the integration time which limits the number of measurements that can be made in a day. Using a low intensity red LED that would not burn out the sensors on the integrating sphere, we were successfully able to measure its radiant flux following the calibration procedure (Figure 3). </w:t>
      </w:r>
    </w:p>
    <w:p w14:paraId="628F012E" w14:textId="188EB378" w:rsidR="0075741B" w:rsidRDefault="0075741B" w:rsidP="004045A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587C654" wp14:editId="676ACB0D">
            <wp:extent cx="3443791" cy="1766047"/>
            <wp:effectExtent l="0" t="0" r="0" b="0"/>
            <wp:docPr id="104043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3221" name="Picture 1040432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525" cy="1791039"/>
                    </a:xfrm>
                    <a:prstGeom prst="rect">
                      <a:avLst/>
                    </a:prstGeom>
                  </pic:spPr>
                </pic:pic>
              </a:graphicData>
            </a:graphic>
          </wp:inline>
        </w:drawing>
      </w:r>
    </w:p>
    <w:p w14:paraId="106355E0" w14:textId="43698FDA" w:rsidR="0075741B" w:rsidRPr="0075741B" w:rsidRDefault="0075741B" w:rsidP="004045AD">
      <w:pPr>
        <w:spacing w:line="276" w:lineRule="auto"/>
        <w:jc w:val="center"/>
        <w:rPr>
          <w:rFonts w:ascii="Times New Roman" w:hAnsi="Times New Roman" w:cs="Times New Roman"/>
          <w:sz w:val="20"/>
          <w:szCs w:val="20"/>
        </w:rPr>
      </w:pPr>
      <w:r>
        <w:rPr>
          <w:rFonts w:ascii="Times New Roman" w:hAnsi="Times New Roman" w:cs="Times New Roman"/>
          <w:sz w:val="20"/>
          <w:szCs w:val="20"/>
        </w:rPr>
        <w:t>Figure 3. Radiant flux vs. wavelength of a red LED</w:t>
      </w:r>
    </w:p>
    <w:p w14:paraId="1613C5CB" w14:textId="76AF7D68" w:rsidR="0075741B" w:rsidRDefault="0075741B" w:rsidP="004045AD">
      <w:pPr>
        <w:spacing w:line="480" w:lineRule="auto"/>
        <w:jc w:val="both"/>
        <w:rPr>
          <w:rFonts w:ascii="Times New Roman" w:hAnsi="Times New Roman" w:cs="Times New Roman"/>
        </w:rPr>
      </w:pPr>
      <w:r>
        <w:rPr>
          <w:rFonts w:ascii="Times New Roman" w:hAnsi="Times New Roman" w:cs="Times New Roman"/>
        </w:rPr>
        <w:lastRenderedPageBreak/>
        <w:t xml:space="preserve">This suggests that radiant flux measurements of the UV-LED at low current is possible with the integrating sphere. However, Takanabe </w:t>
      </w:r>
      <w:r>
        <w:rPr>
          <w:rFonts w:ascii="Times New Roman" w:hAnsi="Times New Roman" w:cs="Times New Roman"/>
          <w:i/>
          <w:iCs/>
        </w:rPr>
        <w:t>et</w:t>
      </w:r>
      <w:r w:rsidR="00790C27">
        <w:rPr>
          <w:rFonts w:ascii="Times New Roman" w:hAnsi="Times New Roman" w:cs="Times New Roman"/>
          <w:i/>
          <w:iCs/>
        </w:rPr>
        <w:t xml:space="preserve"> al.</w:t>
      </w:r>
      <w:r>
        <w:rPr>
          <w:rFonts w:ascii="Times New Roman" w:hAnsi="Times New Roman" w:cs="Times New Roman"/>
        </w:rPr>
        <w:t xml:space="preserve"> stress the importance of making accurate photon flux measurements in order to successful characterize the success of photocatalytic reactions.</w:t>
      </w:r>
      <w:r>
        <w:rPr>
          <w:rFonts w:ascii="Times New Roman" w:hAnsi="Times New Roman" w:cs="Times New Roman"/>
        </w:rPr>
        <w:fldChar w:fldCharType="begin"/>
      </w:r>
      <w:r>
        <w:rPr>
          <w:rFonts w:ascii="Times New Roman" w:hAnsi="Times New Roman" w:cs="Times New Roman"/>
        </w:rPr>
        <w:instrText xml:space="preserve"> ADDIN ZOTERO_ITEM CSL_CITATION {"citationID":"O6i8pdse","properties":{"formattedCitation":"\\super 3\\nosupersub{}","plainCitation":"3","noteIndex":0},"citationItems":[{"id":204,"uris":["http://zotero.org/users/local/TS4rKlnP/items/Y5QBZP89"],"itemData":{"id":204,"type":"article-journal","abstract":"Heterogeneous photocatalysis is a potentially competitive solution for the direct production of solar fuels. This research ﬁeld has seen tremendous growth over the last ﬁve decades, and with such an exciting research topic, it has seen</w:instrText>
      </w:r>
      <w:r>
        <w:rPr>
          <w:rFonts w:ascii="Times New Roman" w:hAnsi="Times New Roman" w:cs="Times New Roman" w:hint="eastAsia"/>
        </w:rPr>
        <w:instrText></w:instrText>
      </w:r>
      <w:r>
        <w:rPr>
          <w:rFonts w:ascii="Times New Roman" w:hAnsi="Times New Roman" w:cs="Times New Roman"/>
        </w:rPr>
        <w:instrText>and will continue to see</w:instrText>
      </w:r>
      <w:r>
        <w:rPr>
          <w:rFonts w:ascii="Times New Roman" w:hAnsi="Times New Roman" w:cs="Times New Roman" w:hint="eastAsia"/>
        </w:rPr>
        <w:instrText></w:instrText>
      </w:r>
      <w:r>
        <w:rPr>
          <w:rFonts w:ascii="Times New Roman" w:hAnsi="Times New Roman" w:cs="Times New Roman"/>
        </w:rPr>
        <w:instrText xml:space="preserve">an increasing number of papers being published in a variety of journals. However, it is becoming increasingly diﬃcult to compare the eﬃciencies of heterogeneous photocatalyst powders, because diﬀerent researchers report their results in diﬀerent ways. Eﬀorts have been made to create standards for reporting data in this ﬁeld, but there continues to be a discrepancy in published works. This article intends to clarify eﬃciency deﬁnitions, and clarify misconceptions as to why researchers should avoid reporting rates of evolution per gram, per surface area of catalyst, or as turnover frequencies (TOFs) alone, to be able to compare photocatalytic eﬃciency among diﬀerent materials. By providing an example of a photoreactor for water splitting in the authors’ laboratory, the paper also intends to guide new researchers in the ﬁeld. This article does not discuss how to improve photocatalysis but rather how to improve the reporting of photocatalysis to ensure reproducibility and eﬀective benchmarking. Researchers should not only ensure that they have all the appropriate characterization and statistical data to support their claims but should also recognize that improperly reported data may lead to faulty benchmarking that prevents their results from being compared with those of other photocatalysts, inhibiting the progress of photocatalytic research.","container-title":"Chemistry of Materials","DOI":"10.1021/acs.chemmater.6b02907","ISSN":"0897-4756, 1520-5002","issue":"1","journalAbbreviation":"Chem. Mater.","language":"en","page":"158-167","source":"DOI.org (Crossref)","title":"Insights on Measuring and Reporting Heterogeneous Photocatalysis: Efficiency Definitions and Setup Examples","title-short":"Insights on Measuring and Reporting Heterogeneous Photocatalysis","volume":"29","author":[{"family":"Qureshi","given":"Muhammad"},{"family":"Takanabe","given":"Kazuhiro"}],"issued":{"date-parts":[["2017",1,10]]}}}],"schema":"https://github.com/citation-style-language/schema/raw/master/csl-citation.json"} </w:instrText>
      </w:r>
      <w:r>
        <w:rPr>
          <w:rFonts w:ascii="Times New Roman" w:hAnsi="Times New Roman" w:cs="Times New Roman"/>
        </w:rPr>
        <w:fldChar w:fldCharType="separate"/>
      </w:r>
      <w:r w:rsidRPr="0075741B">
        <w:rPr>
          <w:rFonts w:ascii="Times New Roman" w:hAnsi="Times New Roman" w:cs="Times New Roman"/>
          <w:kern w:val="0"/>
          <w:vertAlign w:val="superscript"/>
        </w:rPr>
        <w:t>3</w:t>
      </w:r>
      <w:r>
        <w:rPr>
          <w:rFonts w:ascii="Times New Roman" w:hAnsi="Times New Roman" w:cs="Times New Roman"/>
        </w:rPr>
        <w:fldChar w:fldCharType="end"/>
      </w:r>
      <w:r>
        <w:rPr>
          <w:rFonts w:ascii="Times New Roman" w:hAnsi="Times New Roman" w:cs="Times New Roman"/>
        </w:rPr>
        <w:t xml:space="preserve"> The high noise in the UV region is problematic for making accurate UV radiant flux and adjustments to the calibration procedure is necessary for accurate radiant flux measurements.</w:t>
      </w:r>
    </w:p>
    <w:p w14:paraId="200BEFD7" w14:textId="71C7B758" w:rsidR="00BB66EB" w:rsidRDefault="00BB66EB" w:rsidP="004045AD">
      <w:pPr>
        <w:spacing w:line="480" w:lineRule="auto"/>
        <w:jc w:val="both"/>
        <w:rPr>
          <w:rFonts w:ascii="Times New Roman" w:hAnsi="Times New Roman" w:cs="Times New Roman"/>
        </w:rPr>
      </w:pPr>
      <w:r>
        <w:rPr>
          <w:rFonts w:ascii="Times New Roman" w:hAnsi="Times New Roman" w:cs="Times New Roman"/>
        </w:rPr>
        <w:tab/>
        <w:t xml:space="preserve">The original project proposal suggests studying the photocatalytic conversion of methane to methanol. This reaction is difficult to study and requires refinement of the analytical techniques with the GC-MS. Therefore, for characterizing the photon flux of our LEDs in this stage will be done by studying the kinetics of methyl orange degradation as outlined by Bakar </w:t>
      </w:r>
      <w:r>
        <w:rPr>
          <w:rFonts w:ascii="Times New Roman" w:hAnsi="Times New Roman" w:cs="Times New Roman"/>
          <w:i/>
          <w:iCs/>
        </w:rPr>
        <w:t>et al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{"citationID":"fw6vSsSB","properties":{"formattedCitation":"\\super 1\\nosupersub{}","plainCitation":"1","noteIndex":0},"citationItems":[{"id":238,"uris":["http://zotero.org/users/local/TS4rKlnP/items/VYPXFVKZ"],"itemData":{"id":238,"type":"article-journal","abstract":"In recent years, growing concerned has been raised to the global problem of the drainage of organic pollutants into water steams.\n          , \n            \n              In recent years, growing concerned has been raised to the global problem of the drainage of organic pollutants into water steams. Therefore, a great demand has been raised for the development of efficient technologies for the treatment of wastewater pollution. The photocatalytic oxidation of organic pollutants under visible-light irradiation has several advantages for the remediation of wastewater compared to other conventional adsorption techniques. This study reports a rapid and morphology controlled synthesis of anionic 1D S-doped TiO\n              2\n              photocatalysts by a facile and efficient oxidant peroxide route (OPM), followed by crystallization through a hydrothermal method. In particular, S-doping into the TiO\n              2\n              crystal lattice and the formation of S–Ti–O bonds were confirmed by structural characterization of the as-prepared samples with the help of X-ray photoelectron spectroscopy, X-ray diffraction, UV-vis diffuse reflectance spectroscopy, and photoluminescence spectroscopy. The as-prepared S-doped TiO\n              2\n              photocatalysts showed enhanced photocatalytic activity for the liquid phase degradation of an organic compound (methyl orange) under visible-light irradiation (&gt;420 nm) compared to the undoped TiO\n              2\n              . To extend the viability for the photocatalytic activity of the as-prepared S-doped TiO\n              2\n              nanorods, other organic compounds (RhB and phenol) were also tested in photodegradation experiments. The promising effects of OPM treatment for S-doping and the enhanced photocatalytic performance were observed to be due to the large porous channels of nanorods, pure anatase phase crystallization, the high surface area, excellent stability from photocorrosion, enhanced absorbance shifts toward the visible-light region, improved effective interfacial charge transfer, and enhanced efficiency for the separation of photoinduced electron–hole pairs. The optimum photocatalytic activity was achieved for the ATO-3 sample for the degradation of the organic compounds under visible-light irradiation and was </w:instrText>
      </w:r>
      <w:r>
        <w:rPr>
          <w:rFonts w:ascii="Cambria Math" w:hAnsi="Cambria Math" w:cs="Cambria Math"/>
        </w:rPr>
        <w:instrText>∼</w:instrText>
      </w:r>
      <w:r>
        <w:rPr>
          <w:rFonts w:ascii="Times New Roman" w:hAnsi="Times New Roman" w:cs="Times New Roman"/>
        </w:rPr>
        <w:instrText xml:space="preserve">8.12 times higher for MO compared to undoped TiO\n              2\n              . The synergistic effect and role of the active species,\n              i.e.\n              , superoxide radical anions (\n              ˙\n              O\n              2\n              −\n              ) and holes (h\n              +\n              ), on the photocatalysis mechanism for the degradation of organic pollutants are discussed in detail.","container-title":"RSC Advances","DOI":"10.1039/C6RA03819K","ISSN":"2046-2069","issue":"43","journalAbbreviation":"RSC Adv.","language":"en","page":"36516-36527","source":"DOI.org (Crossref)","title":"Rapid and morphology controlled synthesis of anionic S-doped TiO &lt;sub&gt;2&lt;/sub&gt; photocatalysts for the visible-light-driven photodegradation of organic pollutants","volume":"6","author":[{"family":"Bakar","given":"Shahzad Abu"},{"family":"Ribeiro","given":"Caue"}],"issued":{"date-parts":[["2016"]]}}}],"schema":"https://github.com/citation-style-language/schema/raw/master/csl-citation.json"} </w:instrText>
      </w:r>
      <w:r>
        <w:rPr>
          <w:rFonts w:ascii="Times New Roman" w:hAnsi="Times New Roman" w:cs="Times New Roman"/>
        </w:rPr>
        <w:fldChar w:fldCharType="separate"/>
      </w:r>
      <w:r w:rsidRPr="00BB66EB">
        <w:rPr>
          <w:rFonts w:ascii="Times New Roman" w:hAnsi="Times New Roman" w:cs="Times New Roman"/>
          <w:kern w:val="0"/>
          <w:vertAlign w:val="superscript"/>
        </w:rPr>
        <w:t>1</w:t>
      </w:r>
      <w:r>
        <w:rPr>
          <w:rFonts w:ascii="Times New Roman" w:hAnsi="Times New Roman" w:cs="Times New Roman"/>
        </w:rPr>
        <w:fldChar w:fldCharType="end"/>
      </w:r>
      <w:r>
        <w:rPr>
          <w:rFonts w:ascii="Times New Roman" w:hAnsi="Times New Roman" w:cs="Times New Roman"/>
        </w:rPr>
        <w:t xml:space="preserve"> This reaction is studied by plotting the initial rate of the degradation as a function of photocatalyst mass until a</w:t>
      </w:r>
      <w:r w:rsidR="00874943">
        <w:rPr>
          <w:rFonts w:ascii="Times New Roman" w:hAnsi="Times New Roman" w:cs="Times New Roman"/>
        </w:rPr>
        <w:t>n</w:t>
      </w:r>
      <w:r>
        <w:rPr>
          <w:rFonts w:ascii="Times New Roman" w:hAnsi="Times New Roman" w:cs="Times New Roman"/>
        </w:rPr>
        <w:t xml:space="preserve"> “optimal rate” is achieved as suggested by Takanabe </w:t>
      </w:r>
      <w:r>
        <w:rPr>
          <w:rFonts w:ascii="Times New Roman" w:hAnsi="Times New Roman" w:cs="Times New Roman"/>
          <w:i/>
          <w:iCs/>
        </w:rPr>
        <w:t>et al</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ADDIN ZOTERO_ITEM CSL_CITATION {"citationID":"9fpl53m5","properties":{"formattedCitation":"\\super 3\\nosupersub{}","plainCitation":"3","noteIndex":0},"citationItems":[{"id":204,"uris":["http://zotero.org/users/local/TS4rKlnP/items/Y5QBZP89"],"itemData":{"id":204,"type":"article-journal","abstract":"Heterogeneous photocatalysis is a potentially competitive solution for the direct production of solar fuels. This research ﬁeld has seen tremendous growth over the last ﬁve decades, and with such an exciting research topic, it has seen</w:instrText>
      </w:r>
      <w:r>
        <w:rPr>
          <w:rFonts w:ascii="Times New Roman" w:hAnsi="Times New Roman" w:cs="Times New Roman" w:hint="eastAsia"/>
        </w:rPr>
        <w:instrText></w:instrText>
      </w:r>
      <w:r>
        <w:rPr>
          <w:rFonts w:ascii="Times New Roman" w:hAnsi="Times New Roman" w:cs="Times New Roman"/>
        </w:rPr>
        <w:instrText>and will continue to see</w:instrText>
      </w:r>
      <w:r>
        <w:rPr>
          <w:rFonts w:ascii="Times New Roman" w:hAnsi="Times New Roman" w:cs="Times New Roman" w:hint="eastAsia"/>
        </w:rPr>
        <w:instrText></w:instrText>
      </w:r>
      <w:r>
        <w:rPr>
          <w:rFonts w:ascii="Times New Roman" w:hAnsi="Times New Roman" w:cs="Times New Roman"/>
        </w:rPr>
        <w:instrText xml:space="preserve">an increasing number of papers being published in a variety of journals. However, it is becoming increasingly diﬃcult to compare the eﬃciencies of heterogeneous photocatalyst powders, because diﬀerent researchers report their results in diﬀerent ways. Eﬀorts have been made to create standards for reporting data in this ﬁeld, but there continues to be a discrepancy in published works. This article intends to clarify eﬃciency deﬁnitions, and clarify misconceptions as to why researchers should avoid reporting rates of evolution per gram, per surface area of catalyst, or as turnover frequencies (TOFs) alone, to be able to compare photocatalytic eﬃciency among diﬀerent materials. By providing an example of a photoreactor for water splitting in the authors’ laboratory, the paper also intends to guide new researchers in the ﬁeld. This article does not discuss how to improve photocatalysis but rather how to improve the reporting of photocatalysis to ensure reproducibility and eﬀective benchmarking. Researchers should not only ensure that they have all the appropriate characterization and statistical data to support their claims but should also recognize that improperly reported data may lead to faulty benchmarking that prevents their results from being compared with those of other photocatalysts, inhibiting the progress of photocatalytic research.","container-title":"Chemistry of Materials","DOI":"10.1021/acs.chemmater.6b02907","ISSN":"0897-4756, 1520-5002","issue":"1","journalAbbreviation":"Chem. Mater.","language":"en","page":"158-167","source":"DOI.org (Crossref)","title":"Insights on Measuring and Reporting Heterogeneous Photocatalysis: Efficiency Definitions and Setup Examples","title-short":"Insights on Measuring and Reporting Heterogeneous Photocatalysis","volume":"29","author":[{"family":"Qureshi","given":"Muhammad"},{"family":"Takanabe","given":"Kazuhiro"}],"issued":{"date-parts":[["2017",1,10]]}}}],"schema":"https://github.com/citation-style-language/schema/raw/master/csl-citation.json"} </w:instrText>
      </w:r>
      <w:r>
        <w:rPr>
          <w:rFonts w:ascii="Times New Roman" w:hAnsi="Times New Roman" w:cs="Times New Roman"/>
        </w:rPr>
        <w:fldChar w:fldCharType="separate"/>
      </w:r>
      <w:r w:rsidRPr="00BB66EB">
        <w:rPr>
          <w:rFonts w:ascii="Times New Roman" w:hAnsi="Times New Roman" w:cs="Times New Roman"/>
          <w:kern w:val="0"/>
          <w:vertAlign w:val="superscript"/>
        </w:rPr>
        <w:t>3</w:t>
      </w:r>
      <w:r>
        <w:rPr>
          <w:rFonts w:ascii="Times New Roman" w:hAnsi="Times New Roman" w:cs="Times New Roman"/>
        </w:rPr>
        <w:fldChar w:fldCharType="end"/>
      </w:r>
      <w:r>
        <w:rPr>
          <w:rFonts w:ascii="Times New Roman" w:hAnsi="Times New Roman" w:cs="Times New Roman"/>
        </w:rPr>
        <w:t xml:space="preserve"> Over the course of two weeks, kinetic measurements of nanographi TiO</w:t>
      </w:r>
      <w:r>
        <w:rPr>
          <w:rFonts w:ascii="Times New Roman" w:hAnsi="Times New Roman" w:cs="Times New Roman"/>
          <w:vertAlign w:val="subscript"/>
        </w:rPr>
        <w:t>2</w:t>
      </w:r>
      <w:r>
        <w:rPr>
          <w:rFonts w:ascii="Times New Roman" w:hAnsi="Times New Roman" w:cs="Times New Roman"/>
        </w:rPr>
        <w:t xml:space="preserve"> (denoted NG) and nanographi TiO</w:t>
      </w:r>
      <w:r>
        <w:rPr>
          <w:rFonts w:ascii="Times New Roman" w:hAnsi="Times New Roman" w:cs="Times New Roman"/>
          <w:vertAlign w:val="subscript"/>
        </w:rPr>
        <w:t>2</w:t>
      </w:r>
      <w:r>
        <w:rPr>
          <w:rFonts w:ascii="Times New Roman" w:hAnsi="Times New Roman" w:cs="Times New Roman"/>
        </w:rPr>
        <w:t xml:space="preserve"> calcined to 450°C (denoted NG 450) were made and plotted In Figure 4 with previous measurements of United States Research (USR) TiO</w:t>
      </w:r>
      <w:r>
        <w:rPr>
          <w:rFonts w:ascii="Times New Roman" w:hAnsi="Times New Roman" w:cs="Times New Roman"/>
          <w:vertAlign w:val="subscript"/>
        </w:rPr>
        <w:t>2</w:t>
      </w:r>
      <w:r>
        <w:rPr>
          <w:rFonts w:ascii="Times New Roman" w:hAnsi="Times New Roman" w:cs="Times New Roman"/>
        </w:rPr>
        <w:t xml:space="preserve"> catalyst . </w:t>
      </w:r>
    </w:p>
    <w:p w14:paraId="37834BC4" w14:textId="3516E947" w:rsidR="00BB66EB" w:rsidRDefault="00BB66EB" w:rsidP="004045A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B000629" wp14:editId="31ACDDDE">
            <wp:extent cx="3575267" cy="2348753"/>
            <wp:effectExtent l="0" t="0" r="0" b="1270"/>
            <wp:docPr id="1535678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78350" name="Picture 15356783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2798" cy="2366839"/>
                    </a:xfrm>
                    <a:prstGeom prst="rect">
                      <a:avLst/>
                    </a:prstGeom>
                  </pic:spPr>
                </pic:pic>
              </a:graphicData>
            </a:graphic>
          </wp:inline>
        </w:drawing>
      </w:r>
    </w:p>
    <w:p w14:paraId="7189F5A2" w14:textId="0839C00C" w:rsidR="00BB66EB" w:rsidRPr="00BB66EB" w:rsidRDefault="00BB66EB" w:rsidP="004045AD">
      <w:pPr>
        <w:spacing w:line="276" w:lineRule="auto"/>
        <w:jc w:val="center"/>
        <w:rPr>
          <w:rFonts w:ascii="Times New Roman" w:hAnsi="Times New Roman" w:cs="Times New Roman"/>
          <w:sz w:val="20"/>
          <w:szCs w:val="20"/>
        </w:rPr>
      </w:pPr>
      <w:r w:rsidRPr="00BB66EB">
        <w:rPr>
          <w:rFonts w:ascii="Times New Roman" w:hAnsi="Times New Roman" w:cs="Times New Roman"/>
          <w:sz w:val="20"/>
          <w:szCs w:val="20"/>
        </w:rPr>
        <w:t>Figure 4. Mass dependence of USR and NG Photocatalyst</w:t>
      </w:r>
    </w:p>
    <w:p w14:paraId="73A6B157" w14:textId="545CF76F" w:rsidR="00BB66EB" w:rsidRPr="00BB66EB" w:rsidRDefault="00BB66EB" w:rsidP="004045AD">
      <w:pPr>
        <w:spacing w:line="480" w:lineRule="auto"/>
        <w:jc w:val="both"/>
        <w:rPr>
          <w:rFonts w:ascii="Times New Roman" w:hAnsi="Times New Roman" w:cs="Times New Roman"/>
        </w:rPr>
      </w:pPr>
      <w:r>
        <w:rPr>
          <w:rFonts w:ascii="Times New Roman" w:hAnsi="Times New Roman" w:cs="Times New Roman"/>
        </w:rPr>
        <w:lastRenderedPageBreak/>
        <w:t>The data suggests that calcining improves the photocatalytic activity of our catalyst. We believe this to be a result of the deep sulfur-induced electron traps.</w:t>
      </w:r>
      <w:r>
        <w:rPr>
          <w:rFonts w:ascii="Times New Roman" w:hAnsi="Times New Roman" w:cs="Times New Roman"/>
        </w:rPr>
        <w:fldChar w:fldCharType="begin"/>
      </w:r>
      <w:r>
        <w:rPr>
          <w:rFonts w:ascii="Times New Roman" w:hAnsi="Times New Roman" w:cs="Times New Roman"/>
        </w:rPr>
        <w:instrText xml:space="preserve"> ADDIN ZOTERO_ITEM CSL_CITATION {"citationID":"LmhHXPcR","properties":{"formattedCitation":"\\super 4\\nosupersub{}","plainCitation":"4","noteIndex":0},"citationItems":[{"id":194,"uris":["http://zotero.org/users/local/TS4rKlnP/items/PPZ8HFB7"],"itemData":{"id":194,"type":"article-journal","abstract":"Numerous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Pr>
          <w:rFonts w:ascii="Cambria Math" w:hAnsi="Cambria Math" w:cs="Cambria Math"/>
        </w:rPr>
        <w:instrText>∼</w:instrText>
      </w:r>
      <w:r>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Pr>
          <w:rFonts w:ascii="Times New Roman" w:hAnsi="Times New Roman" w:cs="Times New Roman"/>
        </w:rPr>
        <w:fldChar w:fldCharType="separate"/>
      </w:r>
      <w:r w:rsidRPr="00BB66EB">
        <w:rPr>
          <w:rFonts w:ascii="Times New Roman" w:hAnsi="Times New Roman" w:cs="Times New Roman"/>
          <w:kern w:val="0"/>
          <w:vertAlign w:val="superscript"/>
        </w:rPr>
        <w:t>4</w:t>
      </w:r>
      <w:r>
        <w:rPr>
          <w:rFonts w:ascii="Times New Roman" w:hAnsi="Times New Roman" w:cs="Times New Roman"/>
        </w:rPr>
        <w:fldChar w:fldCharType="end"/>
      </w:r>
      <w:r>
        <w:rPr>
          <w:rFonts w:ascii="Times New Roman" w:hAnsi="Times New Roman" w:cs="Times New Roman"/>
        </w:rPr>
        <w:t xml:space="preserve"> We would like t</w:t>
      </w:r>
      <w:r w:rsidR="00DC68A2">
        <w:rPr>
          <w:rFonts w:ascii="Times New Roman" w:hAnsi="Times New Roman" w:cs="Times New Roman"/>
        </w:rPr>
        <w:t xml:space="preserve">o </w:t>
      </w:r>
      <w:r>
        <w:rPr>
          <w:rFonts w:ascii="Times New Roman" w:hAnsi="Times New Roman" w:cs="Times New Roman"/>
        </w:rPr>
        <w:t>characterize these sulfur-induced traps further by measuring low sulfur containing catalysts</w:t>
      </w:r>
      <w:r w:rsidR="00ED6F00">
        <w:rPr>
          <w:rFonts w:ascii="Times New Roman" w:hAnsi="Times New Roman" w:cs="Times New Roman"/>
        </w:rPr>
        <w:t>.</w:t>
      </w:r>
      <w:r w:rsidR="001F2015">
        <w:rPr>
          <w:rFonts w:ascii="Times New Roman" w:hAnsi="Times New Roman" w:cs="Times New Roman"/>
        </w:rPr>
        <w:t xml:space="preserve"> </w:t>
      </w:r>
      <w:r w:rsidR="00DC68A2">
        <w:rPr>
          <w:rFonts w:ascii="Times New Roman" w:hAnsi="Times New Roman" w:cs="Times New Roman"/>
        </w:rPr>
        <w:t>The current experimental set-up limits the number of data points collected (2 points per day). By implementing the new constant current power supply, these reactions can be run without the need to adjust the current from voltage fluctuations. As a result,</w:t>
      </w:r>
      <w:r w:rsidR="00DF03CD">
        <w:rPr>
          <w:rFonts w:ascii="Times New Roman" w:hAnsi="Times New Roman" w:cs="Times New Roman"/>
        </w:rPr>
        <w:t xml:space="preserve"> multiple</w:t>
      </w:r>
      <w:r w:rsidR="00DC68A2">
        <w:rPr>
          <w:rFonts w:ascii="Times New Roman" w:hAnsi="Times New Roman" w:cs="Times New Roman"/>
        </w:rPr>
        <w:t xml:space="preserve"> reactions can be run concurrently improving the efficiency of data acquisition to 6 points per day. </w:t>
      </w:r>
      <w:r w:rsidR="001E6733">
        <w:rPr>
          <w:rFonts w:ascii="Times New Roman" w:hAnsi="Times New Roman" w:cs="Times New Roman"/>
        </w:rPr>
        <w:t>Adjustments and development for measuring the radiant flux of the UV-LED lamps can be achieved</w:t>
      </w:r>
      <w:r w:rsidR="00DC68A2">
        <w:rPr>
          <w:rFonts w:ascii="Times New Roman" w:hAnsi="Times New Roman" w:cs="Times New Roman"/>
        </w:rPr>
        <w:t xml:space="preserve"> </w:t>
      </w:r>
      <w:r w:rsidR="001E6733">
        <w:rPr>
          <w:rFonts w:ascii="Times New Roman" w:hAnsi="Times New Roman" w:cs="Times New Roman"/>
        </w:rPr>
        <w:t>by fine-tuning the calibration procedure and purchasing a higher resistance resistor.</w:t>
      </w:r>
      <w:r w:rsidR="00874943">
        <w:rPr>
          <w:rFonts w:ascii="Times New Roman" w:hAnsi="Times New Roman" w:cs="Times New Roman"/>
        </w:rPr>
        <w:t xml:space="preserve"> By</w:t>
      </w:r>
      <w:r w:rsidR="00D26E10">
        <w:rPr>
          <w:rFonts w:ascii="Times New Roman" w:hAnsi="Times New Roman" w:cs="Times New Roman"/>
        </w:rPr>
        <w:t xml:space="preserve"> </w:t>
      </w:r>
      <w:r w:rsidR="00874943">
        <w:rPr>
          <w:rFonts w:ascii="Times New Roman" w:hAnsi="Times New Roman" w:cs="Times New Roman"/>
        </w:rPr>
        <w:t xml:space="preserve">developing a method to determine </w:t>
      </w:r>
      <w:r w:rsidR="00D26E10">
        <w:rPr>
          <w:rFonts w:ascii="Times New Roman" w:hAnsi="Times New Roman" w:cs="Times New Roman"/>
        </w:rPr>
        <w:t xml:space="preserve">the photonic efficiency for </w:t>
      </w:r>
      <w:r w:rsidR="00874943">
        <w:rPr>
          <w:rFonts w:ascii="Times New Roman" w:hAnsi="Times New Roman" w:cs="Times New Roman"/>
        </w:rPr>
        <w:t>the methyl</w:t>
      </w:r>
      <w:r w:rsidR="00D26E10">
        <w:rPr>
          <w:rFonts w:ascii="Times New Roman" w:hAnsi="Times New Roman" w:cs="Times New Roman"/>
        </w:rPr>
        <w:t xml:space="preserve"> orange degradation reaction</w:t>
      </w:r>
      <w:r w:rsidR="00874943">
        <w:rPr>
          <w:rFonts w:ascii="Times New Roman" w:hAnsi="Times New Roman" w:cs="Times New Roman"/>
        </w:rPr>
        <w:t xml:space="preserve"> we can more easily study the photonic efficiency for a much more difficult reaction to run such as the methane to methanol reaction.</w:t>
      </w:r>
    </w:p>
    <w:p w14:paraId="0D5DF655" w14:textId="77777777" w:rsidR="0075741B" w:rsidRDefault="0075741B" w:rsidP="00DF03CD">
      <w:pPr>
        <w:jc w:val="both"/>
        <w:rPr>
          <w:rFonts w:ascii="Times New Roman" w:hAnsi="Times New Roman" w:cs="Times New Roman"/>
        </w:rPr>
      </w:pPr>
    </w:p>
    <w:p w14:paraId="7C2887D5" w14:textId="588F9D75" w:rsidR="00DF03CD" w:rsidRDefault="00DF03CD" w:rsidP="00DF03CD">
      <w:pPr>
        <w:jc w:val="both"/>
        <w:rPr>
          <w:rFonts w:ascii="Times New Roman" w:hAnsi="Times New Roman" w:cs="Times New Roman"/>
          <w:b/>
          <w:bCs/>
          <w:u w:val="single"/>
        </w:rPr>
      </w:pPr>
      <w:r w:rsidRPr="00DF03CD">
        <w:rPr>
          <w:rFonts w:ascii="Times New Roman" w:hAnsi="Times New Roman" w:cs="Times New Roman"/>
          <w:b/>
          <w:bCs/>
          <w:u w:val="single"/>
        </w:rPr>
        <w:t>References:</w:t>
      </w:r>
    </w:p>
    <w:p w14:paraId="37E18837" w14:textId="77777777" w:rsidR="00DF7497" w:rsidRPr="00DF7497" w:rsidRDefault="00DF7497" w:rsidP="00DF7497">
      <w:pPr>
        <w:pStyle w:val="Bibliography"/>
        <w:rPr>
          <w:rFonts w:ascii="Times New Roman" w:hAnsi="Times New Roman" w:cs="Times New Roman"/>
        </w:rPr>
      </w:pPr>
      <w:r>
        <w:rPr>
          <w:b/>
          <w:bCs/>
          <w:u w:val="single"/>
        </w:rPr>
        <w:fldChar w:fldCharType="begin"/>
      </w:r>
      <w:r>
        <w:rPr>
          <w:b/>
          <w:bCs/>
          <w:u w:val="single"/>
        </w:rPr>
        <w:instrText xml:space="preserve"> ADDIN ZOTERO_BIBL {"uncited":[],"omitted":[],"custom":[]} CSL_BIBLIOGRAPHY </w:instrText>
      </w:r>
      <w:r>
        <w:rPr>
          <w:b/>
          <w:bCs/>
          <w:u w:val="single"/>
        </w:rPr>
        <w:fldChar w:fldCharType="separate"/>
      </w:r>
      <w:r w:rsidRPr="00DF7497">
        <w:rPr>
          <w:rFonts w:ascii="Times New Roman" w:hAnsi="Times New Roman" w:cs="Times New Roman"/>
          <w:vertAlign w:val="superscript"/>
        </w:rPr>
        <w:t>1</w:t>
      </w:r>
      <w:r w:rsidRPr="00DF7497">
        <w:rPr>
          <w:rFonts w:ascii="Times New Roman" w:hAnsi="Times New Roman" w:cs="Times New Roman"/>
        </w:rPr>
        <w:t xml:space="preserve"> S.A. Bakar, and C. Ribeiro, “Rapid and morphology controlled synthesis of anionic S-doped TiO </w:t>
      </w:r>
      <w:r w:rsidRPr="00DF7497">
        <w:rPr>
          <w:rFonts w:ascii="Times New Roman" w:hAnsi="Times New Roman" w:cs="Times New Roman"/>
          <w:vertAlign w:val="subscript"/>
        </w:rPr>
        <w:t>2</w:t>
      </w:r>
      <w:r w:rsidRPr="00DF7497">
        <w:rPr>
          <w:rFonts w:ascii="Times New Roman" w:hAnsi="Times New Roman" w:cs="Times New Roman"/>
        </w:rPr>
        <w:t xml:space="preserve"> photocatalysts for the visible-light-driven photodegradation of organic pollutants,” RSC Adv. </w:t>
      </w:r>
      <w:r w:rsidRPr="00DF7497">
        <w:rPr>
          <w:rFonts w:ascii="Times New Roman" w:hAnsi="Times New Roman" w:cs="Times New Roman"/>
          <w:b/>
          <w:bCs/>
        </w:rPr>
        <w:t>6</w:t>
      </w:r>
      <w:r w:rsidRPr="00DF7497">
        <w:rPr>
          <w:rFonts w:ascii="Times New Roman" w:hAnsi="Times New Roman" w:cs="Times New Roman"/>
        </w:rPr>
        <w:t>(43), 36516–36527 (2016).</w:t>
      </w:r>
    </w:p>
    <w:p w14:paraId="62336FDC" w14:textId="77777777" w:rsidR="00DF7497" w:rsidRPr="00DF7497" w:rsidRDefault="00DF7497" w:rsidP="00DF7497">
      <w:pPr>
        <w:pStyle w:val="Bibliography"/>
        <w:rPr>
          <w:rFonts w:ascii="Times New Roman" w:hAnsi="Times New Roman" w:cs="Times New Roman"/>
        </w:rPr>
      </w:pPr>
      <w:r w:rsidRPr="00DF7497">
        <w:rPr>
          <w:rFonts w:ascii="Times New Roman" w:hAnsi="Times New Roman" w:cs="Times New Roman"/>
          <w:vertAlign w:val="superscript"/>
        </w:rPr>
        <w:t>2</w:t>
      </w:r>
      <w:r w:rsidRPr="00DF7497">
        <w:rPr>
          <w:rFonts w:ascii="Times New Roman" w:hAnsi="Times New Roman" w:cs="Times New Roman"/>
        </w:rPr>
        <w:t xml:space="preserve"> M.A. Gondal, A. Hameed, Z.H. Yamani, and A. Arfaj, “Photocatalytic transformation of methane into methanol under UV laser irradiation over WO3, TiO2 and NiO catalysts,” Chemical Physics Letters </w:t>
      </w:r>
      <w:r w:rsidRPr="00DF7497">
        <w:rPr>
          <w:rFonts w:ascii="Times New Roman" w:hAnsi="Times New Roman" w:cs="Times New Roman"/>
          <w:b/>
          <w:bCs/>
        </w:rPr>
        <w:t>392</w:t>
      </w:r>
      <w:r w:rsidRPr="00DF7497">
        <w:rPr>
          <w:rFonts w:ascii="Times New Roman" w:hAnsi="Times New Roman" w:cs="Times New Roman"/>
        </w:rPr>
        <w:t>(4–6), 372–377 (2004).</w:t>
      </w:r>
    </w:p>
    <w:p w14:paraId="6A572881" w14:textId="77777777" w:rsidR="00DF7497" w:rsidRPr="00DF7497" w:rsidRDefault="00DF7497" w:rsidP="00DF7497">
      <w:pPr>
        <w:pStyle w:val="Bibliography"/>
        <w:rPr>
          <w:rFonts w:ascii="Times New Roman" w:hAnsi="Times New Roman" w:cs="Times New Roman"/>
        </w:rPr>
      </w:pPr>
      <w:r w:rsidRPr="00DF7497">
        <w:rPr>
          <w:rFonts w:ascii="Times New Roman" w:hAnsi="Times New Roman" w:cs="Times New Roman"/>
          <w:vertAlign w:val="superscript"/>
        </w:rPr>
        <w:t>3</w:t>
      </w:r>
      <w:r w:rsidRPr="00DF7497">
        <w:rPr>
          <w:rFonts w:ascii="Times New Roman" w:hAnsi="Times New Roman" w:cs="Times New Roman"/>
        </w:rPr>
        <w:t xml:space="preserve"> M. Qureshi, and K. Takanabe, “Insights on Measuring and Reporting Heterogeneous Photocatalysis: Efficiency Definitions and Setup Examples,” Chem. Mater. </w:t>
      </w:r>
      <w:r w:rsidRPr="00DF7497">
        <w:rPr>
          <w:rFonts w:ascii="Times New Roman" w:hAnsi="Times New Roman" w:cs="Times New Roman"/>
          <w:b/>
          <w:bCs/>
        </w:rPr>
        <w:t>29</w:t>
      </w:r>
      <w:r w:rsidRPr="00DF7497">
        <w:rPr>
          <w:rFonts w:ascii="Times New Roman" w:hAnsi="Times New Roman" w:cs="Times New Roman"/>
        </w:rPr>
        <w:t>(1), 158–167 (2017).</w:t>
      </w:r>
    </w:p>
    <w:p w14:paraId="2CB9D80C" w14:textId="77777777" w:rsidR="00DF7497" w:rsidRPr="00DF7497" w:rsidRDefault="00DF7497" w:rsidP="00DF7497">
      <w:pPr>
        <w:pStyle w:val="Bibliography"/>
        <w:rPr>
          <w:rFonts w:ascii="Times New Roman" w:hAnsi="Times New Roman" w:cs="Times New Roman"/>
        </w:rPr>
      </w:pPr>
      <w:r w:rsidRPr="00DF7497">
        <w:rPr>
          <w:rFonts w:ascii="Times New Roman" w:hAnsi="Times New Roman" w:cs="Times New Roman"/>
          <w:vertAlign w:val="superscript"/>
        </w:rPr>
        <w:t>4</w:t>
      </w:r>
      <w:r w:rsidRPr="00DF7497">
        <w:rPr>
          <w:rFonts w:ascii="Times New Roman" w:hAnsi="Times New Roman" w:cs="Times New Roman"/>
        </w:rPr>
        <w:t xml:space="preserve"> A. Rahmani Chokanlu, A. Mahdavi-Shakib, L. Yu, T.J. Schwartz, R.N. Austin, and B.G. Frederick, “Direct Evidence for Sulfur-Induced Deep Electron and Hole Traps in Titania and Implications for Photochemistry,” J. Phys. Chem. C </w:t>
      </w:r>
      <w:r w:rsidRPr="00DF7497">
        <w:rPr>
          <w:rFonts w:ascii="Times New Roman" w:hAnsi="Times New Roman" w:cs="Times New Roman"/>
          <w:b/>
          <w:bCs/>
        </w:rPr>
        <w:t>127</w:t>
      </w:r>
      <w:r w:rsidRPr="00DF7497">
        <w:rPr>
          <w:rFonts w:ascii="Times New Roman" w:hAnsi="Times New Roman" w:cs="Times New Roman"/>
        </w:rPr>
        <w:t>(14), 6754–6767 (2023).</w:t>
      </w:r>
    </w:p>
    <w:p w14:paraId="3B6AA67A" w14:textId="1439F58D" w:rsidR="00DF03CD" w:rsidRPr="00DF03CD" w:rsidRDefault="00DF7497" w:rsidP="00DF03CD">
      <w:pPr>
        <w:jc w:val="both"/>
        <w:rPr>
          <w:rFonts w:ascii="Times New Roman" w:hAnsi="Times New Roman" w:cs="Times New Roman"/>
          <w:b/>
          <w:bCs/>
          <w:u w:val="single"/>
        </w:rPr>
      </w:pPr>
      <w:r>
        <w:rPr>
          <w:rFonts w:ascii="Times New Roman" w:hAnsi="Times New Roman" w:cs="Times New Roman"/>
          <w:b/>
          <w:bCs/>
          <w:u w:val="single"/>
        </w:rPr>
        <w:fldChar w:fldCharType="end"/>
      </w:r>
    </w:p>
    <w:p w14:paraId="05FCDD91" w14:textId="77777777" w:rsidR="0075741B" w:rsidRPr="0075741B" w:rsidRDefault="0075741B" w:rsidP="0075741B">
      <w:pPr>
        <w:ind w:firstLine="720"/>
        <w:jc w:val="both"/>
        <w:rPr>
          <w:rFonts w:ascii="Times New Roman" w:hAnsi="Times New Roman" w:cs="Times New Roman"/>
        </w:rPr>
      </w:pPr>
    </w:p>
    <w:p w14:paraId="64E366D5" w14:textId="77777777" w:rsidR="0075741B" w:rsidRDefault="0075741B" w:rsidP="00CC4F41">
      <w:pPr>
        <w:jc w:val="both"/>
        <w:rPr>
          <w:rFonts w:ascii="Times New Roman" w:hAnsi="Times New Roman" w:cs="Times New Roman"/>
          <w:sz w:val="28"/>
          <w:szCs w:val="28"/>
        </w:rPr>
      </w:pPr>
    </w:p>
    <w:p w14:paraId="53169584" w14:textId="77777777" w:rsidR="0075741B" w:rsidRDefault="0075741B" w:rsidP="00CC4F41">
      <w:pPr>
        <w:jc w:val="both"/>
        <w:rPr>
          <w:rFonts w:ascii="Times New Roman" w:hAnsi="Times New Roman" w:cs="Times New Roman"/>
          <w:sz w:val="28"/>
          <w:szCs w:val="28"/>
        </w:rPr>
      </w:pPr>
    </w:p>
    <w:p w14:paraId="60435E75" w14:textId="77777777" w:rsidR="0075741B" w:rsidRDefault="0075741B" w:rsidP="00CC4F41">
      <w:pPr>
        <w:jc w:val="both"/>
        <w:rPr>
          <w:rFonts w:ascii="Times New Roman" w:hAnsi="Times New Roman" w:cs="Times New Roman"/>
          <w:sz w:val="28"/>
          <w:szCs w:val="28"/>
        </w:rPr>
      </w:pPr>
    </w:p>
    <w:p w14:paraId="6B64C4DA" w14:textId="77777777" w:rsidR="0075741B" w:rsidRDefault="0075741B" w:rsidP="00CC4F41">
      <w:pPr>
        <w:jc w:val="both"/>
        <w:rPr>
          <w:rFonts w:ascii="Times New Roman" w:hAnsi="Times New Roman" w:cs="Times New Roman"/>
          <w:sz w:val="28"/>
          <w:szCs w:val="28"/>
        </w:rPr>
      </w:pPr>
    </w:p>
    <w:p w14:paraId="34FB3CD2" w14:textId="77777777" w:rsidR="0075741B" w:rsidRDefault="0075741B" w:rsidP="00CC4F41">
      <w:pPr>
        <w:jc w:val="both"/>
        <w:rPr>
          <w:rFonts w:ascii="Times New Roman" w:hAnsi="Times New Roman" w:cs="Times New Roman"/>
          <w:sz w:val="28"/>
          <w:szCs w:val="28"/>
        </w:rPr>
      </w:pPr>
    </w:p>
    <w:p w14:paraId="68417A02" w14:textId="77777777" w:rsidR="0075741B" w:rsidRDefault="0075741B" w:rsidP="00CC4F41">
      <w:pPr>
        <w:jc w:val="both"/>
        <w:rPr>
          <w:rFonts w:ascii="Times New Roman" w:hAnsi="Times New Roman" w:cs="Times New Roman"/>
          <w:sz w:val="28"/>
          <w:szCs w:val="28"/>
        </w:rPr>
      </w:pPr>
    </w:p>
    <w:p w14:paraId="20B982C8" w14:textId="77777777" w:rsidR="0075741B" w:rsidRDefault="0075741B" w:rsidP="00CC4F41">
      <w:pPr>
        <w:jc w:val="both"/>
        <w:rPr>
          <w:rFonts w:ascii="Times New Roman" w:hAnsi="Times New Roman" w:cs="Times New Roman"/>
          <w:sz w:val="28"/>
          <w:szCs w:val="28"/>
        </w:rPr>
      </w:pPr>
    </w:p>
    <w:p w14:paraId="76C0B53B" w14:textId="77777777" w:rsidR="0075741B" w:rsidRPr="00CC4F41" w:rsidRDefault="0075741B" w:rsidP="00CC4F41">
      <w:pPr>
        <w:jc w:val="both"/>
        <w:rPr>
          <w:rFonts w:ascii="Times New Roman" w:hAnsi="Times New Roman" w:cs="Times New Roman"/>
        </w:rPr>
      </w:pPr>
    </w:p>
    <w:sectPr w:rsidR="0075741B" w:rsidRPr="00CC4F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67A"/>
    <w:rsid w:val="001A2A7A"/>
    <w:rsid w:val="001E6733"/>
    <w:rsid w:val="001F2015"/>
    <w:rsid w:val="0026067A"/>
    <w:rsid w:val="002A34B9"/>
    <w:rsid w:val="002E03B2"/>
    <w:rsid w:val="00386E36"/>
    <w:rsid w:val="004045AD"/>
    <w:rsid w:val="0075741B"/>
    <w:rsid w:val="00790C27"/>
    <w:rsid w:val="00874943"/>
    <w:rsid w:val="00A15AEA"/>
    <w:rsid w:val="00BB66EB"/>
    <w:rsid w:val="00C511F3"/>
    <w:rsid w:val="00CC4F41"/>
    <w:rsid w:val="00D26E10"/>
    <w:rsid w:val="00DC68A2"/>
    <w:rsid w:val="00DF03CD"/>
    <w:rsid w:val="00DF7497"/>
    <w:rsid w:val="00ED6F00"/>
    <w:rsid w:val="00FE2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64D1A"/>
  <w15:chartTrackingRefBased/>
  <w15:docId w15:val="{4649D385-8769-5A4B-8615-DD82184B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0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06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06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06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06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6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6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6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6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06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06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06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06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06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6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6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67A"/>
    <w:rPr>
      <w:rFonts w:eastAsiaTheme="majorEastAsia" w:cstheme="majorBidi"/>
      <w:color w:val="272727" w:themeColor="text1" w:themeTint="D8"/>
    </w:rPr>
  </w:style>
  <w:style w:type="paragraph" w:styleId="Title">
    <w:name w:val="Title"/>
    <w:basedOn w:val="Normal"/>
    <w:next w:val="Normal"/>
    <w:link w:val="TitleChar"/>
    <w:uiPriority w:val="10"/>
    <w:qFormat/>
    <w:rsid w:val="00260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6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6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6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67A"/>
    <w:pPr>
      <w:spacing w:before="160"/>
      <w:jc w:val="center"/>
    </w:pPr>
    <w:rPr>
      <w:i/>
      <w:iCs/>
      <w:color w:val="404040" w:themeColor="text1" w:themeTint="BF"/>
    </w:rPr>
  </w:style>
  <w:style w:type="character" w:customStyle="1" w:styleId="QuoteChar">
    <w:name w:val="Quote Char"/>
    <w:basedOn w:val="DefaultParagraphFont"/>
    <w:link w:val="Quote"/>
    <w:uiPriority w:val="29"/>
    <w:rsid w:val="0026067A"/>
    <w:rPr>
      <w:i/>
      <w:iCs/>
      <w:color w:val="404040" w:themeColor="text1" w:themeTint="BF"/>
    </w:rPr>
  </w:style>
  <w:style w:type="paragraph" w:styleId="ListParagraph">
    <w:name w:val="List Paragraph"/>
    <w:basedOn w:val="Normal"/>
    <w:uiPriority w:val="34"/>
    <w:qFormat/>
    <w:rsid w:val="0026067A"/>
    <w:pPr>
      <w:ind w:left="720"/>
      <w:contextualSpacing/>
    </w:pPr>
  </w:style>
  <w:style w:type="character" w:styleId="IntenseEmphasis">
    <w:name w:val="Intense Emphasis"/>
    <w:basedOn w:val="DefaultParagraphFont"/>
    <w:uiPriority w:val="21"/>
    <w:qFormat/>
    <w:rsid w:val="0026067A"/>
    <w:rPr>
      <w:i/>
      <w:iCs/>
      <w:color w:val="0F4761" w:themeColor="accent1" w:themeShade="BF"/>
    </w:rPr>
  </w:style>
  <w:style w:type="paragraph" w:styleId="IntenseQuote">
    <w:name w:val="Intense Quote"/>
    <w:basedOn w:val="Normal"/>
    <w:next w:val="Normal"/>
    <w:link w:val="IntenseQuoteChar"/>
    <w:uiPriority w:val="30"/>
    <w:qFormat/>
    <w:rsid w:val="00260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067A"/>
    <w:rPr>
      <w:i/>
      <w:iCs/>
      <w:color w:val="0F4761" w:themeColor="accent1" w:themeShade="BF"/>
    </w:rPr>
  </w:style>
  <w:style w:type="character" w:styleId="IntenseReference">
    <w:name w:val="Intense Reference"/>
    <w:basedOn w:val="DefaultParagraphFont"/>
    <w:uiPriority w:val="32"/>
    <w:qFormat/>
    <w:rsid w:val="0026067A"/>
    <w:rPr>
      <w:b/>
      <w:bCs/>
      <w:smallCaps/>
      <w:color w:val="0F4761" w:themeColor="accent1" w:themeShade="BF"/>
      <w:spacing w:val="5"/>
    </w:rPr>
  </w:style>
  <w:style w:type="character" w:styleId="PlaceholderText">
    <w:name w:val="Placeholder Text"/>
    <w:basedOn w:val="DefaultParagraphFont"/>
    <w:uiPriority w:val="99"/>
    <w:semiHidden/>
    <w:rsid w:val="0075741B"/>
    <w:rPr>
      <w:color w:val="666666"/>
    </w:rPr>
  </w:style>
  <w:style w:type="paragraph" w:styleId="Bibliography">
    <w:name w:val="Bibliography"/>
    <w:basedOn w:val="Normal"/>
    <w:next w:val="Normal"/>
    <w:uiPriority w:val="37"/>
    <w:unhideWhenUsed/>
    <w:rsid w:val="00DF74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6</Pages>
  <Words>3739</Words>
  <Characters>21316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Oisin Gushue</dc:creator>
  <cp:keywords/>
  <dc:description/>
  <cp:lastModifiedBy>Niall Oisin Gushue</cp:lastModifiedBy>
  <cp:revision>15</cp:revision>
  <dcterms:created xsi:type="dcterms:W3CDTF">2024-10-16T23:23:00Z</dcterms:created>
  <dcterms:modified xsi:type="dcterms:W3CDTF">2025-03-19T02:50:00Z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id="I3GdqTRe"/&gt;&lt;style id="http://www.zotero.org/styles/american-institute-of-physics" hasBibliography="1" bibliographyStyleHasBeenSet="1"/&gt;&lt;prefs&gt;&lt;pref name="fieldType" value="Field"/&gt;&lt;/prefs&gt;&lt;/data&gt;</vt:lpwstr>
  </property>
</Properties>
</file>