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BB613" w14:textId="719D6E99" w:rsidR="00BB206D" w:rsidRPr="00D67DD7" w:rsidRDefault="00D75F95" w:rsidP="00BB206D">
      <w:pPr>
        <w:jc w:val="center"/>
        <w:rPr>
          <w:b/>
          <w:bCs/>
        </w:rPr>
      </w:pPr>
      <w:r>
        <w:rPr>
          <w:b/>
          <w:bCs/>
        </w:rPr>
        <w:t>PHY 482</w:t>
      </w:r>
      <w:r w:rsidR="00BB206D" w:rsidRPr="00D67DD7">
        <w:rPr>
          <w:b/>
          <w:bCs/>
        </w:rPr>
        <w:t xml:space="preserve"> Mid Semester R</w:t>
      </w:r>
      <w:r>
        <w:rPr>
          <w:b/>
          <w:bCs/>
        </w:rPr>
        <w:t>eport</w:t>
      </w:r>
    </w:p>
    <w:p w14:paraId="4244BD8F" w14:textId="77777777" w:rsidR="00BB206D" w:rsidRDefault="00BB206D" w:rsidP="00BB206D">
      <w:pPr>
        <w:jc w:val="both"/>
      </w:pPr>
      <w:r>
        <w:t xml:space="preserve">During this semester I have been continuing my photocatalysis project in the effort to publish my data in </w:t>
      </w:r>
      <w:r w:rsidRPr="00D67DD7">
        <w:rPr>
          <w:i/>
          <w:iCs/>
        </w:rPr>
        <w:t>R</w:t>
      </w:r>
      <w:r>
        <w:rPr>
          <w:i/>
          <w:iCs/>
        </w:rPr>
        <w:t>SC</w:t>
      </w:r>
      <w:r w:rsidRPr="00D67DD7">
        <w:rPr>
          <w:i/>
          <w:iCs/>
        </w:rPr>
        <w:t xml:space="preserve"> Advances.</w:t>
      </w:r>
      <w:r>
        <w:t xml:space="preserve"> Previously I had measured the photonic yield of my photocatalysts and obtained the following data in Table 1:</w:t>
      </w:r>
    </w:p>
    <w:p w14:paraId="6228FBCD" w14:textId="77777777" w:rsidR="00BB206D" w:rsidRDefault="00BB206D" w:rsidP="00BB206D">
      <w:pPr>
        <w:rPr>
          <w:rFonts w:ascii="Times New Roman" w:eastAsiaTheme="minorEastAsia" w:hAnsi="Times New Roman" w:cs="Times New Roman"/>
        </w:rPr>
      </w:pPr>
      <w:r>
        <w:rPr>
          <w:rFonts w:ascii="Times New Roman" w:eastAsiaTheme="minorEastAsia" w:hAnsi="Times New Roman" w:cs="Times New Roman"/>
        </w:rPr>
        <w:t>Table 1. Old Optimal Rate and Photonic Yield of USR and NG Catalysts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3117"/>
        <w:gridCol w:w="3117"/>
      </w:tblGrid>
      <w:tr w:rsidR="00BB206D" w14:paraId="541BA342" w14:textId="77777777" w:rsidTr="00A834B8">
        <w:tc>
          <w:tcPr>
            <w:tcW w:w="3116" w:type="dxa"/>
            <w:shd w:val="clear" w:color="auto" w:fill="D1D1D1" w:themeFill="background2" w:themeFillShade="E6"/>
          </w:tcPr>
          <w:p w14:paraId="5950D40B"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Catalyst</w:t>
            </w:r>
          </w:p>
        </w:tc>
        <w:tc>
          <w:tcPr>
            <w:tcW w:w="3117" w:type="dxa"/>
            <w:shd w:val="clear" w:color="auto" w:fill="D1D1D1" w:themeFill="background2" w:themeFillShade="E6"/>
          </w:tcPr>
          <w:p w14:paraId="0CE38B68"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Optimal Rate (M/min)</w:t>
            </w:r>
          </w:p>
          <w:p w14:paraId="1067CD5B" w14:textId="77777777" w:rsidR="00BB206D" w:rsidRDefault="00BB206D" w:rsidP="00A834B8">
            <w:pPr>
              <w:jc w:val="center"/>
              <w:rPr>
                <w:rFonts w:ascii="Times New Roman" w:eastAsiaTheme="minorEastAsia" w:hAnsi="Times New Roman" w:cs="Times New Roman"/>
              </w:rPr>
            </w:pPr>
          </w:p>
        </w:tc>
        <w:tc>
          <w:tcPr>
            <w:tcW w:w="3117" w:type="dxa"/>
            <w:shd w:val="clear" w:color="auto" w:fill="D1D1D1" w:themeFill="background2" w:themeFillShade="E6"/>
          </w:tcPr>
          <w:p w14:paraId="793DD4DA"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 xml:space="preserve">Photonic Yield </w:t>
            </w:r>
          </w:p>
        </w:tc>
      </w:tr>
      <w:tr w:rsidR="00BB206D" w14:paraId="630ABEF5" w14:textId="77777777" w:rsidTr="00A834B8">
        <w:tc>
          <w:tcPr>
            <w:tcW w:w="3116" w:type="dxa"/>
          </w:tcPr>
          <w:p w14:paraId="435302C1"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USR AR</w:t>
            </w:r>
          </w:p>
          <w:p w14:paraId="629D6F8B" w14:textId="77777777" w:rsidR="00BB206D" w:rsidRDefault="00BB206D" w:rsidP="00A834B8">
            <w:pPr>
              <w:jc w:val="center"/>
              <w:rPr>
                <w:rFonts w:ascii="Times New Roman" w:eastAsiaTheme="minorEastAsia" w:hAnsi="Times New Roman" w:cs="Times New Roman"/>
              </w:rPr>
            </w:pPr>
          </w:p>
        </w:tc>
        <w:tc>
          <w:tcPr>
            <w:tcW w:w="3117" w:type="dxa"/>
          </w:tcPr>
          <w:p w14:paraId="4CCD01A2" w14:textId="77777777" w:rsidR="00BB206D" w:rsidRPr="009905E6" w:rsidRDefault="00BB206D"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3.96 * 10</w:t>
            </w:r>
            <w:r>
              <w:rPr>
                <w:rFonts w:ascii="Times New Roman" w:eastAsiaTheme="minorEastAsia" w:hAnsi="Times New Roman" w:cs="Times New Roman"/>
                <w:vertAlign w:val="superscript"/>
              </w:rPr>
              <w:t>-7</w:t>
            </w:r>
          </w:p>
        </w:tc>
        <w:tc>
          <w:tcPr>
            <w:tcW w:w="3117" w:type="dxa"/>
          </w:tcPr>
          <w:p w14:paraId="6FC49165"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39.9 %</w:t>
            </w:r>
          </w:p>
        </w:tc>
      </w:tr>
      <w:tr w:rsidR="00BB206D" w14:paraId="0E0A5E86" w14:textId="77777777" w:rsidTr="00A834B8">
        <w:tc>
          <w:tcPr>
            <w:tcW w:w="3116" w:type="dxa"/>
          </w:tcPr>
          <w:p w14:paraId="2E4CB32B"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USR 450</w:t>
            </w:r>
          </w:p>
          <w:p w14:paraId="4F823D41" w14:textId="77777777" w:rsidR="00BB206D" w:rsidRDefault="00BB206D" w:rsidP="00A834B8">
            <w:pPr>
              <w:jc w:val="center"/>
              <w:rPr>
                <w:rFonts w:ascii="Times New Roman" w:eastAsiaTheme="minorEastAsia" w:hAnsi="Times New Roman" w:cs="Times New Roman"/>
              </w:rPr>
            </w:pPr>
          </w:p>
        </w:tc>
        <w:tc>
          <w:tcPr>
            <w:tcW w:w="3117" w:type="dxa"/>
          </w:tcPr>
          <w:p w14:paraId="5274CF23" w14:textId="77777777" w:rsidR="00BB206D" w:rsidRPr="009905E6" w:rsidRDefault="00BB206D"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1.13 * 10</w:t>
            </w:r>
            <w:r>
              <w:rPr>
                <w:rFonts w:ascii="Times New Roman" w:eastAsiaTheme="minorEastAsia" w:hAnsi="Times New Roman" w:cs="Times New Roman"/>
                <w:vertAlign w:val="superscript"/>
              </w:rPr>
              <w:t>-6</w:t>
            </w:r>
          </w:p>
        </w:tc>
        <w:tc>
          <w:tcPr>
            <w:tcW w:w="3117" w:type="dxa"/>
          </w:tcPr>
          <w:p w14:paraId="663B5A76"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114 %</w:t>
            </w:r>
          </w:p>
        </w:tc>
      </w:tr>
      <w:tr w:rsidR="00BB206D" w14:paraId="6AE827D9" w14:textId="77777777" w:rsidTr="00A834B8">
        <w:tc>
          <w:tcPr>
            <w:tcW w:w="3116" w:type="dxa"/>
          </w:tcPr>
          <w:p w14:paraId="3ED9059C"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NG AR</w:t>
            </w:r>
          </w:p>
          <w:p w14:paraId="26B8FDBA" w14:textId="77777777" w:rsidR="00BB206D" w:rsidRDefault="00BB206D" w:rsidP="00A834B8">
            <w:pPr>
              <w:jc w:val="center"/>
              <w:rPr>
                <w:rFonts w:ascii="Times New Roman" w:eastAsiaTheme="minorEastAsia" w:hAnsi="Times New Roman" w:cs="Times New Roman"/>
              </w:rPr>
            </w:pPr>
          </w:p>
        </w:tc>
        <w:tc>
          <w:tcPr>
            <w:tcW w:w="3117" w:type="dxa"/>
          </w:tcPr>
          <w:p w14:paraId="21EA8A0F"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3.57 * 10</w:t>
            </w:r>
            <w:r>
              <w:rPr>
                <w:rFonts w:ascii="Times New Roman" w:eastAsiaTheme="minorEastAsia" w:hAnsi="Times New Roman" w:cs="Times New Roman"/>
                <w:vertAlign w:val="superscript"/>
              </w:rPr>
              <w:t>-7</w:t>
            </w:r>
          </w:p>
        </w:tc>
        <w:tc>
          <w:tcPr>
            <w:tcW w:w="3117" w:type="dxa"/>
          </w:tcPr>
          <w:p w14:paraId="3DBF31D9"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36.0 %</w:t>
            </w:r>
          </w:p>
        </w:tc>
      </w:tr>
      <w:tr w:rsidR="00BB206D" w14:paraId="592DAC31" w14:textId="77777777" w:rsidTr="00A834B8">
        <w:tc>
          <w:tcPr>
            <w:tcW w:w="3116" w:type="dxa"/>
          </w:tcPr>
          <w:p w14:paraId="674D9DC0"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NG 450</w:t>
            </w:r>
          </w:p>
        </w:tc>
        <w:tc>
          <w:tcPr>
            <w:tcW w:w="3117" w:type="dxa"/>
          </w:tcPr>
          <w:p w14:paraId="27A9BA93" w14:textId="77777777" w:rsidR="00BB206D" w:rsidRPr="00DA4AAE" w:rsidRDefault="00BB206D"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9.23 * 10</w:t>
            </w:r>
            <w:r>
              <w:rPr>
                <w:rFonts w:ascii="Times New Roman" w:eastAsiaTheme="minorEastAsia" w:hAnsi="Times New Roman" w:cs="Times New Roman"/>
                <w:vertAlign w:val="superscript"/>
              </w:rPr>
              <w:t>-7</w:t>
            </w:r>
          </w:p>
        </w:tc>
        <w:tc>
          <w:tcPr>
            <w:tcW w:w="3117" w:type="dxa"/>
          </w:tcPr>
          <w:p w14:paraId="35675B7D"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93.0 %</w:t>
            </w:r>
          </w:p>
        </w:tc>
      </w:tr>
    </w:tbl>
    <w:p w14:paraId="4833AF37" w14:textId="77777777" w:rsidR="00BB206D" w:rsidRDefault="00BB206D" w:rsidP="00BB206D">
      <w:pPr>
        <w:jc w:val="both"/>
      </w:pPr>
    </w:p>
    <w:p w14:paraId="01D59B8A" w14:textId="5E5D187B" w:rsidR="00BB206D" w:rsidRDefault="00D75F95" w:rsidP="00BB206D">
      <w:pPr>
        <w:jc w:val="both"/>
      </w:pPr>
      <w:r>
        <w:t>However, t</w:t>
      </w:r>
      <w:r w:rsidR="00BB206D">
        <w:t xml:space="preserve">here </w:t>
      </w:r>
      <w:r>
        <w:t>was</w:t>
      </w:r>
      <w:r w:rsidR="00BB206D">
        <w:t xml:space="preserve"> an issue with the</w:t>
      </w:r>
      <w:r>
        <w:t>se</w:t>
      </w:r>
      <w:r w:rsidR="00BB206D">
        <w:t xml:space="preserve"> photonic yield measurements. The photonic yield should not be able to physically exceed 100%. Additionally previous literature has measured photonic yields of titania catalyst to be between 1-2% so these all see</w:t>
      </w:r>
      <w:r>
        <w:t>m</w:t>
      </w:r>
      <w:r w:rsidR="00BB206D">
        <w:t xml:space="preserve"> very high.</w:t>
      </w:r>
      <w:r>
        <w:fldChar w:fldCharType="begin"/>
      </w:r>
      <w:r>
        <w:instrText xml:space="preserve"> ADDIN ZOTERO_ITEM CSL_CITATION {"citationID":"9qW0GpnO","properties":{"formattedCitation":"\\super 1\\nosupersub{}","plainCitation":"1","noteIndex":0},"citationItems":[{"id":204,"uris":["http://zotero.org/users/local/TS4rKlnP/items/Y5QBZP89"],"itemData":{"id":204,"type":"article-journal","abstract":"Heterogeneous photocatalysis is a potentially competitive solution for the direct production of solar fuels. This research ﬁeld has seen tremendous growth over the last ﬁve decades, and with such an exciting research topic, it has seen</w:instrText>
      </w:r>
      <w:r>
        <w:rPr>
          <w:rFonts w:hint="eastAsia"/>
        </w:rPr>
        <w:instrText></w:instrText>
      </w:r>
      <w:r>
        <w:instrText>and will continue to see</w:instrText>
      </w:r>
      <w:r>
        <w:rPr>
          <w:rFonts w:hint="eastAsia"/>
        </w:rPr>
        <w:instrText></w:instrText>
      </w:r>
      <w:r>
        <w:instrText>an increasing number of papers being published in a variety of journals. However, it is becoming increasingly di</w:instrText>
      </w:r>
      <w:r>
        <w:rPr>
          <w:rFonts w:ascii="Cambria Math" w:hAnsi="Cambria Math" w:cs="Cambria Math"/>
        </w:rPr>
        <w:instrText>ﬃ</w:instrText>
      </w:r>
      <w:r>
        <w:instrText>cult to compare the e</w:instrText>
      </w:r>
      <w:r>
        <w:rPr>
          <w:rFonts w:ascii="Cambria Math" w:hAnsi="Cambria Math" w:cs="Cambria Math"/>
        </w:rPr>
        <w:instrText>ﬃ</w:instrText>
      </w:r>
      <w:r>
        <w:instrText>ciencies of heterogeneous photocatalyst powders, because di</w:instrText>
      </w:r>
      <w:r>
        <w:rPr>
          <w:rFonts w:ascii="Cambria Math" w:hAnsi="Cambria Math" w:cs="Cambria Math"/>
        </w:rPr>
        <w:instrText>ﬀ</w:instrText>
      </w:r>
      <w:r>
        <w:instrText>erent researchers report their results in di</w:instrText>
      </w:r>
      <w:r>
        <w:rPr>
          <w:rFonts w:ascii="Cambria Math" w:hAnsi="Cambria Math" w:cs="Cambria Math"/>
        </w:rPr>
        <w:instrText>ﬀ</w:instrText>
      </w:r>
      <w:r>
        <w:instrText>erent ways. E</w:instrText>
      </w:r>
      <w:r>
        <w:rPr>
          <w:rFonts w:ascii="Cambria Math" w:hAnsi="Cambria Math" w:cs="Cambria Math"/>
        </w:rPr>
        <w:instrText>ﬀ</w:instrText>
      </w:r>
      <w:r>
        <w:instrText>orts have been made to create standards for reporting data in this ﬁeld, but there continues to be a discrepancy in published works. This article intends to clarify e</w:instrText>
      </w:r>
      <w:r>
        <w:rPr>
          <w:rFonts w:ascii="Cambria Math" w:hAnsi="Cambria Math" w:cs="Cambria Math"/>
        </w:rPr>
        <w:instrText>ﬃ</w:instrText>
      </w:r>
      <w:r>
        <w:instrText>ciency deﬁnitions, and clarify misconceptions as to why researchers should avoid reporting rates of evolution per gram, per surface area of catalyst, or as turnover frequencies (TOFs) alone, to be able to compare photocatalytic e</w:instrText>
      </w:r>
      <w:r>
        <w:rPr>
          <w:rFonts w:ascii="Cambria Math" w:hAnsi="Cambria Math" w:cs="Cambria Math"/>
        </w:rPr>
        <w:instrText>ﬃ</w:instrText>
      </w:r>
      <w:r>
        <w:instrText>ciency among di</w:instrText>
      </w:r>
      <w:r>
        <w:rPr>
          <w:rFonts w:ascii="Cambria Math" w:hAnsi="Cambria Math" w:cs="Cambria Math"/>
        </w:rPr>
        <w:instrText>ﬀ</w:instrText>
      </w:r>
      <w:r>
        <w:instrText>erent materials. By providing an example of a photoreactor for water splitting in the authors’ laboratory, the paper also intends to guide new researchers in the ﬁeld. This article does not discuss how to improve photocatalysis but rather how to improve the reporting of photocatalysis to ensure reproducibility and e</w:instrText>
      </w:r>
      <w:r>
        <w:rPr>
          <w:rFonts w:ascii="Cambria Math" w:hAnsi="Cambria Math" w:cs="Cambria Math"/>
        </w:rPr>
        <w:instrText>ﬀ</w:instrText>
      </w:r>
      <w:r>
        <w:instrText xml:space="preserve">ective benchmarking. Researchers should not only ensure that they have all the appropriate characterization and statistical data to support their claims but should also recognize that improperly reported data may lead to faulty benchmarking that prevents their results from being compared with those of other photocatalysts, inhibiting the progress of photocatalytic research.","container-title":"Chemistry of Materials","DOI":"10.1021/acs.chemmater.6b02907","ISSN":"0897-4756, 1520-5002","issue":"1","journalAbbreviation":"Chem. Mater.","language":"en","page":"158-167","source":"DOI.org (Crossref)","title":"Insights on Measuring and Reporting Heterogeneous Photocatalysis: Efficiency Definitions and Setup Examples","title-short":"Insights on Measuring and Reporting Heterogeneous Photocatalysis","volume":"29","author":[{"family":"Qureshi","given":"Muhammad"},{"family":"Takanabe","given":"Kazuhiro"}],"issued":{"date-parts":[["2017",1,10]]}}}],"schema":"https://github.com/citation-style-language/schema/raw/master/csl-citation.json"} </w:instrText>
      </w:r>
      <w:r>
        <w:fldChar w:fldCharType="separate"/>
      </w:r>
      <w:r w:rsidRPr="00D75F95">
        <w:rPr>
          <w:rFonts w:ascii="Aptos" w:cs="Times New Roman"/>
          <w:kern w:val="0"/>
          <w:vertAlign w:val="superscript"/>
        </w:rPr>
        <w:t>1</w:t>
      </w:r>
      <w:r>
        <w:fldChar w:fldCharType="end"/>
      </w:r>
      <w:r>
        <w:fldChar w:fldCharType="begin"/>
      </w:r>
      <w:r>
        <w:instrText xml:space="preserve"> ADDIN ZOTERO_TEMP </w:instrText>
      </w:r>
      <w:r>
        <w:fldChar w:fldCharType="separate"/>
      </w:r>
      <w:r>
        <w:rPr>
          <w:noProof/>
        </w:rPr>
        <w:t xml:space="preserve"> </w:t>
      </w:r>
      <w:r>
        <w:fldChar w:fldCharType="end"/>
      </w:r>
      <w:r w:rsidR="00BB206D">
        <w:t xml:space="preserve"> </w:t>
      </w:r>
      <w:r w:rsidR="00BB206D">
        <w:rPr>
          <w:i/>
          <w:iCs/>
        </w:rPr>
        <w:br/>
      </w:r>
      <w:r w:rsidR="00BB206D">
        <w:t xml:space="preserve">This is most likely due to two experimental constraints; 1) the 385 nm UV-LED was wired in a way that the entirety of the LED could not be inserted into the integrating sphere used to make these photon flux measurements; 2) measurements of the photon flux were only being measured at 385 nm. The UV-LED has a distribution of wavelengths above the band gap that also contribute to the </w:t>
      </w:r>
      <w:r>
        <w:t xml:space="preserve">photocatalytic </w:t>
      </w:r>
      <w:r w:rsidR="00BB206D">
        <w:t xml:space="preserve">reaction. </w:t>
      </w:r>
      <w:r w:rsidR="00BB206D" w:rsidRPr="00D67DD7">
        <w:t>To account for these issues we solved 1) by using a flat copper wiring and soldering it to the LED so that the entire LED will lay flat and can be inserted into the integrating sphere. We then solved 2) by integrating the calculated photon flux over the total distribution of wavelengths of the 385 nm LED. The updated photonic yields are presented in Table 2.</w:t>
      </w:r>
    </w:p>
    <w:p w14:paraId="7ABCA657" w14:textId="77777777" w:rsidR="00BB206D" w:rsidRDefault="00BB206D" w:rsidP="00BB206D">
      <w:pPr>
        <w:rPr>
          <w:rFonts w:ascii="Times New Roman" w:eastAsiaTheme="minorEastAsia" w:hAnsi="Times New Roman" w:cs="Times New Roman"/>
        </w:rPr>
      </w:pPr>
      <w:r>
        <w:rPr>
          <w:rFonts w:ascii="Times New Roman" w:eastAsiaTheme="minorEastAsia" w:hAnsi="Times New Roman" w:cs="Times New Roman"/>
        </w:rPr>
        <w:t>Table 2. Updated Optimal Rate and Photonic Yield of USR and NG Catalysts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3117"/>
        <w:gridCol w:w="3117"/>
      </w:tblGrid>
      <w:tr w:rsidR="00BB206D" w14:paraId="6B90657E" w14:textId="77777777" w:rsidTr="00A834B8">
        <w:tc>
          <w:tcPr>
            <w:tcW w:w="3116" w:type="dxa"/>
            <w:shd w:val="clear" w:color="auto" w:fill="D1D1D1" w:themeFill="background2" w:themeFillShade="E6"/>
          </w:tcPr>
          <w:p w14:paraId="32465411"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Catalyst</w:t>
            </w:r>
          </w:p>
        </w:tc>
        <w:tc>
          <w:tcPr>
            <w:tcW w:w="3117" w:type="dxa"/>
            <w:shd w:val="clear" w:color="auto" w:fill="D1D1D1" w:themeFill="background2" w:themeFillShade="E6"/>
          </w:tcPr>
          <w:p w14:paraId="4F13CF57"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Optimal Rate (M/min)</w:t>
            </w:r>
          </w:p>
          <w:p w14:paraId="46061B2A" w14:textId="77777777" w:rsidR="00BB206D" w:rsidRDefault="00BB206D" w:rsidP="00A834B8">
            <w:pPr>
              <w:jc w:val="center"/>
              <w:rPr>
                <w:rFonts w:ascii="Times New Roman" w:eastAsiaTheme="minorEastAsia" w:hAnsi="Times New Roman" w:cs="Times New Roman"/>
              </w:rPr>
            </w:pPr>
          </w:p>
        </w:tc>
        <w:tc>
          <w:tcPr>
            <w:tcW w:w="3117" w:type="dxa"/>
            <w:shd w:val="clear" w:color="auto" w:fill="D1D1D1" w:themeFill="background2" w:themeFillShade="E6"/>
          </w:tcPr>
          <w:p w14:paraId="734CFCF0"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 xml:space="preserve">Photonic Yield </w:t>
            </w:r>
          </w:p>
        </w:tc>
      </w:tr>
      <w:tr w:rsidR="00BB206D" w14:paraId="7085111D" w14:textId="77777777" w:rsidTr="00A834B8">
        <w:tc>
          <w:tcPr>
            <w:tcW w:w="3116" w:type="dxa"/>
          </w:tcPr>
          <w:p w14:paraId="1D92789A"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USR AR</w:t>
            </w:r>
          </w:p>
          <w:p w14:paraId="17298018" w14:textId="77777777" w:rsidR="00BB206D" w:rsidRDefault="00BB206D" w:rsidP="00A834B8">
            <w:pPr>
              <w:jc w:val="center"/>
              <w:rPr>
                <w:rFonts w:ascii="Times New Roman" w:eastAsiaTheme="minorEastAsia" w:hAnsi="Times New Roman" w:cs="Times New Roman"/>
              </w:rPr>
            </w:pPr>
          </w:p>
        </w:tc>
        <w:tc>
          <w:tcPr>
            <w:tcW w:w="3117" w:type="dxa"/>
          </w:tcPr>
          <w:p w14:paraId="2E23CB86" w14:textId="77777777" w:rsidR="00BB206D" w:rsidRPr="009905E6" w:rsidRDefault="00BB206D"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3.96 * 10</w:t>
            </w:r>
            <w:r>
              <w:rPr>
                <w:rFonts w:ascii="Times New Roman" w:eastAsiaTheme="minorEastAsia" w:hAnsi="Times New Roman" w:cs="Times New Roman"/>
                <w:vertAlign w:val="superscript"/>
              </w:rPr>
              <w:t>-7</w:t>
            </w:r>
          </w:p>
        </w:tc>
        <w:tc>
          <w:tcPr>
            <w:tcW w:w="3117" w:type="dxa"/>
          </w:tcPr>
          <w:p w14:paraId="2E438D00"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1.10 %</w:t>
            </w:r>
          </w:p>
        </w:tc>
      </w:tr>
      <w:tr w:rsidR="00BB206D" w14:paraId="29A29767" w14:textId="77777777" w:rsidTr="00A834B8">
        <w:tc>
          <w:tcPr>
            <w:tcW w:w="3116" w:type="dxa"/>
          </w:tcPr>
          <w:p w14:paraId="3BEE76C1"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USR 450</w:t>
            </w:r>
          </w:p>
          <w:p w14:paraId="464E8F46" w14:textId="77777777" w:rsidR="00BB206D" w:rsidRDefault="00BB206D" w:rsidP="00A834B8">
            <w:pPr>
              <w:jc w:val="center"/>
              <w:rPr>
                <w:rFonts w:ascii="Times New Roman" w:eastAsiaTheme="minorEastAsia" w:hAnsi="Times New Roman" w:cs="Times New Roman"/>
              </w:rPr>
            </w:pPr>
          </w:p>
        </w:tc>
        <w:tc>
          <w:tcPr>
            <w:tcW w:w="3117" w:type="dxa"/>
          </w:tcPr>
          <w:p w14:paraId="4EDB3D01" w14:textId="77777777" w:rsidR="00BB206D" w:rsidRPr="009905E6" w:rsidRDefault="00BB206D"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1.13 * 10</w:t>
            </w:r>
            <w:r>
              <w:rPr>
                <w:rFonts w:ascii="Times New Roman" w:eastAsiaTheme="minorEastAsia" w:hAnsi="Times New Roman" w:cs="Times New Roman"/>
                <w:vertAlign w:val="superscript"/>
              </w:rPr>
              <w:t>-6</w:t>
            </w:r>
          </w:p>
        </w:tc>
        <w:tc>
          <w:tcPr>
            <w:tcW w:w="3117" w:type="dxa"/>
          </w:tcPr>
          <w:p w14:paraId="4BC041A1"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3.15 %</w:t>
            </w:r>
          </w:p>
        </w:tc>
      </w:tr>
      <w:tr w:rsidR="00BB206D" w14:paraId="478200AD" w14:textId="77777777" w:rsidTr="00A834B8">
        <w:tc>
          <w:tcPr>
            <w:tcW w:w="3116" w:type="dxa"/>
          </w:tcPr>
          <w:p w14:paraId="5D97230F"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NG AR</w:t>
            </w:r>
          </w:p>
          <w:p w14:paraId="0A28CBB9" w14:textId="77777777" w:rsidR="00BB206D" w:rsidRDefault="00BB206D" w:rsidP="00A834B8">
            <w:pPr>
              <w:jc w:val="center"/>
              <w:rPr>
                <w:rFonts w:ascii="Times New Roman" w:eastAsiaTheme="minorEastAsia" w:hAnsi="Times New Roman" w:cs="Times New Roman"/>
              </w:rPr>
            </w:pPr>
          </w:p>
        </w:tc>
        <w:tc>
          <w:tcPr>
            <w:tcW w:w="3117" w:type="dxa"/>
          </w:tcPr>
          <w:p w14:paraId="5A1C2071"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3.57 * 10</w:t>
            </w:r>
            <w:r>
              <w:rPr>
                <w:rFonts w:ascii="Times New Roman" w:eastAsiaTheme="minorEastAsia" w:hAnsi="Times New Roman" w:cs="Times New Roman"/>
                <w:vertAlign w:val="superscript"/>
              </w:rPr>
              <w:t>-7</w:t>
            </w:r>
          </w:p>
        </w:tc>
        <w:tc>
          <w:tcPr>
            <w:tcW w:w="3117" w:type="dxa"/>
          </w:tcPr>
          <w:p w14:paraId="04157DA6"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0.99 %</w:t>
            </w:r>
          </w:p>
        </w:tc>
      </w:tr>
      <w:tr w:rsidR="00BB206D" w14:paraId="63D3E52A" w14:textId="77777777" w:rsidTr="00A834B8">
        <w:tc>
          <w:tcPr>
            <w:tcW w:w="3116" w:type="dxa"/>
          </w:tcPr>
          <w:p w14:paraId="6160CF9A"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NG 450</w:t>
            </w:r>
          </w:p>
        </w:tc>
        <w:tc>
          <w:tcPr>
            <w:tcW w:w="3117" w:type="dxa"/>
          </w:tcPr>
          <w:p w14:paraId="5A093038" w14:textId="77777777" w:rsidR="00BB206D" w:rsidRPr="00DA4AAE" w:rsidRDefault="00BB206D" w:rsidP="00A834B8">
            <w:pPr>
              <w:jc w:val="center"/>
              <w:rPr>
                <w:rFonts w:ascii="Times New Roman" w:eastAsiaTheme="minorEastAsia" w:hAnsi="Times New Roman" w:cs="Times New Roman"/>
                <w:vertAlign w:val="superscript"/>
              </w:rPr>
            </w:pPr>
            <w:r>
              <w:rPr>
                <w:rFonts w:ascii="Times New Roman" w:eastAsiaTheme="minorEastAsia" w:hAnsi="Times New Roman" w:cs="Times New Roman"/>
              </w:rPr>
              <w:t>9.23 * 10</w:t>
            </w:r>
            <w:r>
              <w:rPr>
                <w:rFonts w:ascii="Times New Roman" w:eastAsiaTheme="minorEastAsia" w:hAnsi="Times New Roman" w:cs="Times New Roman"/>
                <w:vertAlign w:val="superscript"/>
              </w:rPr>
              <w:t>-7</w:t>
            </w:r>
          </w:p>
        </w:tc>
        <w:tc>
          <w:tcPr>
            <w:tcW w:w="3117" w:type="dxa"/>
          </w:tcPr>
          <w:p w14:paraId="2D8BB60D" w14:textId="77777777" w:rsidR="00BB206D" w:rsidRDefault="00BB206D" w:rsidP="00A834B8">
            <w:pPr>
              <w:jc w:val="center"/>
              <w:rPr>
                <w:rFonts w:ascii="Times New Roman" w:eastAsiaTheme="minorEastAsia" w:hAnsi="Times New Roman" w:cs="Times New Roman"/>
              </w:rPr>
            </w:pPr>
            <w:r>
              <w:rPr>
                <w:rFonts w:ascii="Times New Roman" w:eastAsiaTheme="minorEastAsia" w:hAnsi="Times New Roman" w:cs="Times New Roman"/>
              </w:rPr>
              <w:t>2.57 %</w:t>
            </w:r>
          </w:p>
        </w:tc>
      </w:tr>
    </w:tbl>
    <w:p w14:paraId="530B714C" w14:textId="77777777" w:rsidR="00BB206D" w:rsidRDefault="00BB206D" w:rsidP="00BB206D">
      <w:pPr>
        <w:jc w:val="both"/>
        <w:rPr>
          <w:rFonts w:ascii="Times New Roman" w:eastAsiaTheme="minorEastAsia" w:hAnsi="Times New Roman" w:cs="Times New Roman"/>
        </w:rPr>
      </w:pPr>
    </w:p>
    <w:p w14:paraId="4405A8A9" w14:textId="6A5D6DCD" w:rsidR="00D75F95" w:rsidRDefault="00D75F95" w:rsidP="00BB206D">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These new measurements are physically reasonable compared to the old data set! </w:t>
      </w:r>
    </w:p>
    <w:p w14:paraId="518A74DB" w14:textId="77777777" w:rsidR="009515E1" w:rsidRDefault="00D75F95" w:rsidP="00D75F95">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 It is important to note that 385 nm light is in the UV region and can be damaging to the DNA in our bodies, leading to adjacent bases (thymine or cytosine) to form dimers. This can lead to cancer and other dangerous health implications. As a result, all experiments, photocatalytic reactions and photonic flux measurements, are made using a cover (cardboard box) keeping the light from irradiating on our skin/eyes. The light source is confirmed to be on not by viewing but by an ammeter with a current output.</w:t>
      </w:r>
    </w:p>
    <w:p w14:paraId="63831BCE" w14:textId="0D1AA076" w:rsidR="00D75F95" w:rsidRDefault="00D75F95" w:rsidP="00D75F95">
      <w:pPr>
        <w:ind w:firstLine="720"/>
        <w:jc w:val="both"/>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I have tried to improve my kinetics data for my NG photocatalyst which I have presented in Figure 1.</w:t>
      </w:r>
    </w:p>
    <w:p w14:paraId="7FCAC1CF" w14:textId="77777777" w:rsidR="00BB206D" w:rsidRDefault="00BB206D" w:rsidP="00BB206D">
      <w:pPr>
        <w:jc w:val="center"/>
        <w:rPr>
          <w:rFonts w:ascii="Times New Roman" w:eastAsiaTheme="minorEastAsia" w:hAnsi="Times New Roman" w:cs="Times New Roman"/>
        </w:rPr>
      </w:pPr>
      <w:r>
        <w:rPr>
          <w:rFonts w:ascii="Times New Roman" w:hAnsi="Times New Roman" w:cs="Times New Roman"/>
          <w:noProof/>
        </w:rPr>
        <w:drawing>
          <wp:inline distT="0" distB="0" distL="0" distR="0" wp14:anchorId="297677BF" wp14:editId="40DCB221">
            <wp:extent cx="4688875" cy="3026228"/>
            <wp:effectExtent l="0" t="0" r="0" b="0"/>
            <wp:docPr id="1336802645" name="Picture 9" descr="A graph of different colore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02645" name="Picture 9" descr="A graph of different colored poin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55683" cy="3133887"/>
                    </a:xfrm>
                    <a:prstGeom prst="rect">
                      <a:avLst/>
                    </a:prstGeom>
                  </pic:spPr>
                </pic:pic>
              </a:graphicData>
            </a:graphic>
          </wp:inline>
        </w:drawing>
      </w:r>
    </w:p>
    <w:p w14:paraId="207A2BB2" w14:textId="77777777" w:rsidR="00BB206D" w:rsidRDefault="00BB206D" w:rsidP="00BB206D">
      <w:pPr>
        <w:spacing w:line="276" w:lineRule="auto"/>
        <w:jc w:val="center"/>
        <w:rPr>
          <w:rFonts w:ascii="Times New Roman" w:hAnsi="Times New Roman" w:cs="Times New Roman"/>
          <w:sz w:val="20"/>
          <w:szCs w:val="20"/>
        </w:rPr>
      </w:pPr>
      <w:r w:rsidRPr="006170E3">
        <w:rPr>
          <w:rFonts w:ascii="Times New Roman" w:hAnsi="Times New Roman" w:cs="Times New Roman"/>
          <w:sz w:val="20"/>
          <w:szCs w:val="20"/>
        </w:rPr>
        <w:t xml:space="preserve">Figure 1. </w:t>
      </w:r>
      <w:r>
        <w:rPr>
          <w:rFonts w:ascii="Times New Roman" w:hAnsi="Times New Roman" w:cs="Times New Roman"/>
          <w:sz w:val="20"/>
          <w:szCs w:val="20"/>
        </w:rPr>
        <w:t>Mass Dependence of Photocatalysts Illuminated by 385 nm LED Lamp</w:t>
      </w:r>
    </w:p>
    <w:p w14:paraId="7464FCC8" w14:textId="00C5AA89" w:rsidR="00D75F95" w:rsidRDefault="00BB206D" w:rsidP="00D75F95">
      <w:pPr>
        <w:jc w:val="both"/>
        <w:rPr>
          <w:rFonts w:ascii="Times New Roman" w:eastAsiaTheme="minorEastAsia" w:hAnsi="Times New Roman" w:cs="Times New Roman"/>
        </w:rPr>
      </w:pPr>
      <w:r>
        <w:rPr>
          <w:rFonts w:ascii="Times New Roman" w:eastAsiaTheme="minorEastAsia" w:hAnsi="Times New Roman" w:cs="Times New Roman"/>
        </w:rPr>
        <w:t>It can be seen in Figure 1 that the NG 450 does not follow a clear trend as compared to the USR 450. This is due to the material being very dense and hard to separate out of solution with our current centrifuge. We require a higher rpm centrifuge, however, the one we have borrowed from Karl Bishop is broken and we are currently waiting on it to be fixed to continue these experiments. This has been a challenge</w:t>
      </w:r>
      <w:r w:rsidR="00D75F95">
        <w:rPr>
          <w:rFonts w:ascii="Times New Roman" w:eastAsiaTheme="minorEastAsia" w:hAnsi="Times New Roman" w:cs="Times New Roman"/>
        </w:rPr>
        <w:t xml:space="preserve"> </w:t>
      </w:r>
      <w:r>
        <w:rPr>
          <w:rFonts w:ascii="Times New Roman" w:eastAsiaTheme="minorEastAsia" w:hAnsi="Times New Roman" w:cs="Times New Roman"/>
        </w:rPr>
        <w:t xml:space="preserve">and has put this portion of my project on hold.  </w:t>
      </w:r>
    </w:p>
    <w:p w14:paraId="3B76C32F" w14:textId="47B1D2EB" w:rsidR="00D75F95" w:rsidRDefault="00D75F95" w:rsidP="00D75F95">
      <w:pPr>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hAnsi="Times New Roman" w:cs="Times New Roman"/>
        </w:rPr>
        <w:t xml:space="preserve">Figure 2 shows the transient absorption spectroscopy (TAS) data for our photocatalysts. This data indicates charge carrier lifetimes to increase between as received and calcined photocatalysts. </w:t>
      </w:r>
      <w:r>
        <w:rPr>
          <w:rFonts w:ascii="Times New Roman" w:eastAsiaTheme="minorEastAsia" w:hAnsi="Times New Roman" w:cs="Times New Roman"/>
        </w:rPr>
        <w:t xml:space="preserve">The calcined photocatalysts have charge carrier lifetimes that go out to the millisecond to second timescale. </w:t>
      </w:r>
      <w:r w:rsidRPr="00D67DD7">
        <w:rPr>
          <w:rFonts w:ascii="Times New Roman" w:eastAsiaTheme="minorEastAsia" w:hAnsi="Times New Roman" w:cs="Times New Roman"/>
        </w:rPr>
        <w:t>This finding is of particular importance for the potential application of these materials in photocatalysis, as many photocatalytic processes are driven by reactive oxygen species that form on the millisecond timescale on TiO</w:t>
      </w:r>
      <w:r w:rsidRPr="00D67DD7">
        <w:rPr>
          <w:rFonts w:ascii="Times New Roman" w:eastAsiaTheme="minorEastAsia" w:hAnsi="Times New Roman" w:cs="Times New Roman"/>
          <w:vertAlign w:val="subscript"/>
        </w:rPr>
        <w:t>2</w:t>
      </w:r>
      <w:r>
        <w:rPr>
          <w:rFonts w:ascii="Times New Roman" w:eastAsiaTheme="minorEastAsia" w:hAnsi="Times New Roman" w:cs="Times New Roman"/>
        </w:rPr>
        <w:t xml:space="preserve"> which could account for the increased photocatalytic activity. </w:t>
      </w:r>
    </w:p>
    <w:p w14:paraId="36173A4E" w14:textId="79AE085C" w:rsidR="00D75F95" w:rsidRDefault="00D75F95" w:rsidP="00D75F95">
      <w:pPr>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4839D8C" wp14:editId="1AF49FBF">
            <wp:extent cx="3179619" cy="2529290"/>
            <wp:effectExtent l="0" t="0" r="0" b="0"/>
            <wp:docPr id="137890151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01519" name="Picture 1" descr="A graph of different colored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195318" cy="2541778"/>
                    </a:xfrm>
                    <a:prstGeom prst="rect">
                      <a:avLst/>
                    </a:prstGeom>
                  </pic:spPr>
                </pic:pic>
              </a:graphicData>
            </a:graphic>
          </wp:inline>
        </w:drawing>
      </w:r>
    </w:p>
    <w:p w14:paraId="773DDBB5" w14:textId="1BA4B578" w:rsidR="00D75F95" w:rsidRDefault="00D75F95" w:rsidP="00D75F95">
      <w:pPr>
        <w:spacing w:line="276" w:lineRule="auto"/>
        <w:jc w:val="center"/>
        <w:rPr>
          <w:rFonts w:ascii="Times New Roman" w:hAnsi="Times New Roman" w:cs="Times New Roman"/>
          <w:sz w:val="20"/>
          <w:szCs w:val="20"/>
        </w:rPr>
      </w:pPr>
      <w:r w:rsidRPr="006170E3">
        <w:rPr>
          <w:rFonts w:ascii="Times New Roman" w:hAnsi="Times New Roman" w:cs="Times New Roman"/>
          <w:sz w:val="20"/>
          <w:szCs w:val="20"/>
        </w:rPr>
        <w:t xml:space="preserve">Figure </w:t>
      </w:r>
      <w:r>
        <w:rPr>
          <w:rFonts w:ascii="Times New Roman" w:hAnsi="Times New Roman" w:cs="Times New Roman"/>
          <w:sz w:val="20"/>
          <w:szCs w:val="20"/>
        </w:rPr>
        <w:t>2</w:t>
      </w:r>
      <w:r w:rsidRPr="006170E3">
        <w:rPr>
          <w:rFonts w:ascii="Times New Roman" w:hAnsi="Times New Roman" w:cs="Times New Roman"/>
          <w:sz w:val="20"/>
          <w:szCs w:val="20"/>
        </w:rPr>
        <w:t xml:space="preserve">. </w:t>
      </w:r>
      <w:r>
        <w:rPr>
          <w:rFonts w:ascii="Times New Roman" w:hAnsi="Times New Roman" w:cs="Times New Roman"/>
          <w:sz w:val="20"/>
          <w:szCs w:val="20"/>
        </w:rPr>
        <w:t>Mass Dependence of Photocatalysts Illuminated by 385 nm LED Lamp</w:t>
      </w:r>
    </w:p>
    <w:p w14:paraId="1084DD8D" w14:textId="6F612251" w:rsidR="00D75F95" w:rsidRDefault="00D75F95" w:rsidP="00D75F95">
      <w:pPr>
        <w:jc w:val="both"/>
        <w:rPr>
          <w:rFonts w:ascii="Times New Roman" w:eastAsiaTheme="minorEastAsia" w:hAnsi="Times New Roman" w:cs="Times New Roman"/>
        </w:rPr>
      </w:pPr>
      <w:r>
        <w:rPr>
          <w:rFonts w:ascii="Times New Roman" w:eastAsiaTheme="minorEastAsia" w:hAnsi="Times New Roman" w:cs="Times New Roman"/>
        </w:rPr>
        <w:t>References:</w:t>
      </w:r>
    </w:p>
    <w:p w14:paraId="64E85214" w14:textId="0D6F5A69" w:rsidR="00D75F95" w:rsidRPr="00D75F95" w:rsidRDefault="00D75F95" w:rsidP="00D75F95">
      <w:pPr>
        <w:jc w:val="both"/>
        <w:rPr>
          <w:rFonts w:eastAsiaTheme="minorEastAsia"/>
        </w:rPr>
      </w:pPr>
      <w:r>
        <w:rPr>
          <w:rFonts w:ascii="Times New Roman" w:eastAsiaTheme="minorEastAsia" w:hAnsi="Times New Roman" w:cs="Times New Roman"/>
        </w:rPr>
        <w:t xml:space="preserve">[1] </w:t>
      </w:r>
      <w:r w:rsidRPr="00D75F95">
        <w:rPr>
          <w:rFonts w:eastAsiaTheme="minorEastAsia"/>
        </w:rPr>
        <w:t xml:space="preserve">M. Qureshi, and K. </w:t>
      </w:r>
      <w:proofErr w:type="spellStart"/>
      <w:r w:rsidRPr="00D75F95">
        <w:rPr>
          <w:rFonts w:eastAsiaTheme="minorEastAsia"/>
        </w:rPr>
        <w:t>Takanabe</w:t>
      </w:r>
      <w:proofErr w:type="spellEnd"/>
      <w:r w:rsidRPr="00D75F95">
        <w:rPr>
          <w:rFonts w:eastAsiaTheme="minorEastAsia"/>
        </w:rPr>
        <w:t xml:space="preserve">, “Insights on Measuring and Reporting Heterogeneous Photocatalysis: Efficiency Definitions and Setup Examples,” Chem. Mater. </w:t>
      </w:r>
      <w:r w:rsidRPr="00D75F95">
        <w:rPr>
          <w:rFonts w:eastAsiaTheme="minorEastAsia"/>
          <w:b/>
          <w:bCs/>
        </w:rPr>
        <w:t>29</w:t>
      </w:r>
      <w:r w:rsidRPr="00D75F95">
        <w:rPr>
          <w:rFonts w:eastAsiaTheme="minorEastAsia"/>
        </w:rPr>
        <w:t>(1), 158–167 (2017).</w:t>
      </w:r>
    </w:p>
    <w:p w14:paraId="4B59A104" w14:textId="74B96761" w:rsidR="00D75F95" w:rsidRPr="00D75F95" w:rsidRDefault="00D75F95" w:rsidP="00D75F95">
      <w:pPr>
        <w:jc w:val="both"/>
        <w:rPr>
          <w:rFonts w:ascii="Times New Roman" w:eastAsiaTheme="minorEastAsia" w:hAnsi="Times New Roman" w:cs="Times New Roman"/>
        </w:rPr>
      </w:pPr>
      <w:r w:rsidRPr="00D75F95">
        <w:rPr>
          <w:rFonts w:ascii="Times New Roman" w:eastAsiaTheme="minorEastAsia" w:hAnsi="Times New Roman" w:cs="Times New Roman"/>
        </w:rPr>
        <w:t>[</w:t>
      </w:r>
      <w:r>
        <w:rPr>
          <w:rFonts w:ascii="Times New Roman" w:eastAsiaTheme="minorEastAsia" w:hAnsi="Times New Roman" w:cs="Times New Roman"/>
        </w:rPr>
        <w:t>2</w:t>
      </w:r>
      <w:r w:rsidRPr="00D75F95">
        <w:rPr>
          <w:rFonts w:ascii="Times New Roman" w:eastAsiaTheme="minorEastAsia" w:hAnsi="Times New Roman" w:cs="Times New Roman"/>
        </w:rPr>
        <w:t>] Distinctive Behavior of Photogenerated Electrons and Holes in Anatase and Rutile TiO2 Powders |</w:t>
      </w:r>
      <w:r>
        <w:rPr>
          <w:rFonts w:ascii="Times New Roman" w:eastAsiaTheme="minorEastAsia" w:hAnsi="Times New Roman" w:cs="Times New Roman"/>
        </w:rPr>
        <w:t xml:space="preserve"> </w:t>
      </w:r>
      <w:r w:rsidRPr="00D75F95">
        <w:rPr>
          <w:rFonts w:ascii="Times New Roman" w:eastAsiaTheme="minorEastAsia" w:hAnsi="Times New Roman" w:cs="Times New Roman"/>
        </w:rPr>
        <w:t>The Journal of Physical Chemistry C (acs.org)</w:t>
      </w:r>
    </w:p>
    <w:p w14:paraId="63F58BA6" w14:textId="678EF1AA" w:rsidR="00D75F95" w:rsidRPr="00D75F95" w:rsidRDefault="00D75F95" w:rsidP="00D75F95">
      <w:pPr>
        <w:jc w:val="both"/>
        <w:rPr>
          <w:rFonts w:ascii="Times New Roman" w:eastAsiaTheme="minorEastAsia" w:hAnsi="Times New Roman" w:cs="Times New Roman"/>
        </w:rPr>
      </w:pPr>
      <w:r w:rsidRPr="00D75F95">
        <w:rPr>
          <w:rFonts w:ascii="Times New Roman" w:eastAsiaTheme="minorEastAsia" w:hAnsi="Times New Roman" w:cs="Times New Roman"/>
        </w:rPr>
        <w:t>[</w:t>
      </w:r>
      <w:r>
        <w:rPr>
          <w:rFonts w:ascii="Times New Roman" w:eastAsiaTheme="minorEastAsia" w:hAnsi="Times New Roman" w:cs="Times New Roman"/>
        </w:rPr>
        <w:t>3</w:t>
      </w:r>
      <w:r w:rsidRPr="00D75F95">
        <w:rPr>
          <w:rFonts w:ascii="Times New Roman" w:eastAsiaTheme="minorEastAsia" w:hAnsi="Times New Roman" w:cs="Times New Roman"/>
        </w:rPr>
        <w:t xml:space="preserve">] Where Do Photogenerated Holes Go in </w:t>
      </w:r>
      <w:proofErr w:type="gramStart"/>
      <w:r w:rsidRPr="00D75F95">
        <w:rPr>
          <w:rFonts w:ascii="Times New Roman" w:eastAsiaTheme="minorEastAsia" w:hAnsi="Times New Roman" w:cs="Times New Roman"/>
        </w:rPr>
        <w:t>Anatase:Rutile</w:t>
      </w:r>
      <w:proofErr w:type="gramEnd"/>
      <w:r w:rsidRPr="00D75F95">
        <w:rPr>
          <w:rFonts w:ascii="Times New Roman" w:eastAsiaTheme="minorEastAsia" w:hAnsi="Times New Roman" w:cs="Times New Roman"/>
        </w:rPr>
        <w:t xml:space="preserve"> TiO2? A Transient Absorption</w:t>
      </w:r>
      <w:r>
        <w:rPr>
          <w:rFonts w:ascii="Times New Roman" w:eastAsiaTheme="minorEastAsia" w:hAnsi="Times New Roman" w:cs="Times New Roman"/>
        </w:rPr>
        <w:t xml:space="preserve"> </w:t>
      </w:r>
      <w:r w:rsidRPr="00D75F95">
        <w:rPr>
          <w:rFonts w:ascii="Times New Roman" w:eastAsiaTheme="minorEastAsia" w:hAnsi="Times New Roman" w:cs="Times New Roman"/>
        </w:rPr>
        <w:t>Spectroscopy Study of Charge Transfer and Lifetime | The Journal of Physical Chemistry A (acs.org)</w:t>
      </w:r>
    </w:p>
    <w:p w14:paraId="09B23348" w14:textId="256E1F96" w:rsidR="00D75F95" w:rsidRPr="00D75F95" w:rsidRDefault="00D75F95" w:rsidP="00D75F95">
      <w:pPr>
        <w:jc w:val="both"/>
        <w:rPr>
          <w:rFonts w:ascii="Times New Roman" w:eastAsiaTheme="minorEastAsia" w:hAnsi="Times New Roman" w:cs="Times New Roman"/>
        </w:rPr>
      </w:pPr>
      <w:r w:rsidRPr="00D75F95">
        <w:rPr>
          <w:rFonts w:ascii="Times New Roman" w:eastAsiaTheme="minorEastAsia" w:hAnsi="Times New Roman" w:cs="Times New Roman"/>
        </w:rPr>
        <w:t>[</w:t>
      </w:r>
      <w:r>
        <w:rPr>
          <w:rFonts w:ascii="Times New Roman" w:eastAsiaTheme="minorEastAsia" w:hAnsi="Times New Roman" w:cs="Times New Roman"/>
        </w:rPr>
        <w:t>4</w:t>
      </w:r>
      <w:r w:rsidRPr="00D75F95">
        <w:rPr>
          <w:rFonts w:ascii="Times New Roman" w:eastAsiaTheme="minorEastAsia" w:hAnsi="Times New Roman" w:cs="Times New Roman"/>
        </w:rPr>
        <w:t>] Transient Absorption Spectroscopy of Anatase and Rutile: The Impact of Morphology and Phase</w:t>
      </w:r>
      <w:r>
        <w:rPr>
          <w:rFonts w:ascii="Times New Roman" w:eastAsiaTheme="minorEastAsia" w:hAnsi="Times New Roman" w:cs="Times New Roman"/>
        </w:rPr>
        <w:t xml:space="preserve"> </w:t>
      </w:r>
      <w:r w:rsidRPr="00D75F95">
        <w:rPr>
          <w:rFonts w:ascii="Times New Roman" w:eastAsiaTheme="minorEastAsia" w:hAnsi="Times New Roman" w:cs="Times New Roman"/>
        </w:rPr>
        <w:t>on Photocatalytic Activity | The Journal of Physical Chemistry C (acs.org)</w:t>
      </w:r>
    </w:p>
    <w:p w14:paraId="288A6F80" w14:textId="034551A5" w:rsidR="00D75F95" w:rsidRPr="00D75F95" w:rsidRDefault="00D75F95" w:rsidP="00D75F95">
      <w:pPr>
        <w:jc w:val="both"/>
        <w:rPr>
          <w:rFonts w:ascii="Times New Roman" w:eastAsiaTheme="minorEastAsia" w:hAnsi="Times New Roman" w:cs="Times New Roman"/>
        </w:rPr>
      </w:pPr>
      <w:r w:rsidRPr="00D75F95">
        <w:rPr>
          <w:rFonts w:ascii="Times New Roman" w:eastAsiaTheme="minorEastAsia" w:hAnsi="Times New Roman" w:cs="Times New Roman"/>
        </w:rPr>
        <w:t>[</w:t>
      </w:r>
      <w:r>
        <w:rPr>
          <w:rFonts w:ascii="Times New Roman" w:eastAsiaTheme="minorEastAsia" w:hAnsi="Times New Roman" w:cs="Times New Roman"/>
        </w:rPr>
        <w:t>5</w:t>
      </w:r>
      <w:r w:rsidRPr="00D75F95">
        <w:rPr>
          <w:rFonts w:ascii="Times New Roman" w:eastAsiaTheme="minorEastAsia" w:hAnsi="Times New Roman" w:cs="Times New Roman"/>
        </w:rPr>
        <w:t>] Strong Transient Absorption of Trapped Holes in Anatase and Rutile TiO2 at High Laser Intensities</w:t>
      </w:r>
      <w:r>
        <w:rPr>
          <w:rFonts w:ascii="Times New Roman" w:eastAsiaTheme="minorEastAsia" w:hAnsi="Times New Roman" w:cs="Times New Roman"/>
        </w:rPr>
        <w:t xml:space="preserve"> </w:t>
      </w:r>
      <w:r w:rsidRPr="00D75F95">
        <w:rPr>
          <w:rFonts w:ascii="Times New Roman" w:eastAsiaTheme="minorEastAsia" w:hAnsi="Times New Roman" w:cs="Times New Roman"/>
        </w:rPr>
        <w:t>| The Journal of Physical Chemistry C (acs.org)</w:t>
      </w:r>
    </w:p>
    <w:p w14:paraId="0D74AE1B" w14:textId="34C67968" w:rsidR="00D75F95" w:rsidRPr="00D75F95" w:rsidRDefault="00D75F95" w:rsidP="00D75F95">
      <w:pPr>
        <w:jc w:val="both"/>
        <w:rPr>
          <w:rFonts w:ascii="Times New Roman" w:eastAsiaTheme="minorEastAsia" w:hAnsi="Times New Roman" w:cs="Times New Roman"/>
        </w:rPr>
      </w:pPr>
      <w:r w:rsidRPr="00D75F95">
        <w:rPr>
          <w:rFonts w:ascii="Times New Roman" w:eastAsiaTheme="minorEastAsia" w:hAnsi="Times New Roman" w:cs="Times New Roman"/>
        </w:rPr>
        <w:t>[</w:t>
      </w:r>
      <w:r>
        <w:rPr>
          <w:rFonts w:ascii="Times New Roman" w:eastAsiaTheme="minorEastAsia" w:hAnsi="Times New Roman" w:cs="Times New Roman"/>
        </w:rPr>
        <w:t>6</w:t>
      </w:r>
      <w:r w:rsidRPr="00D75F95">
        <w:rPr>
          <w:rFonts w:ascii="Times New Roman" w:eastAsiaTheme="minorEastAsia" w:hAnsi="Times New Roman" w:cs="Times New Roman"/>
        </w:rPr>
        <w:t>] Ab Initio Simulation of the Absorption Spectra of Photoexcited Carriers in TiO2 Nanoparticles |</w:t>
      </w:r>
      <w:r>
        <w:rPr>
          <w:rFonts w:ascii="Times New Roman" w:eastAsiaTheme="minorEastAsia" w:hAnsi="Times New Roman" w:cs="Times New Roman"/>
        </w:rPr>
        <w:t xml:space="preserve"> </w:t>
      </w:r>
      <w:r w:rsidRPr="00D75F95">
        <w:rPr>
          <w:rFonts w:ascii="Times New Roman" w:eastAsiaTheme="minorEastAsia" w:hAnsi="Times New Roman" w:cs="Times New Roman"/>
        </w:rPr>
        <w:t>The Journal of Physical Chemistry Letters (acs.org)</w:t>
      </w:r>
    </w:p>
    <w:p w14:paraId="5047EB78" w14:textId="6953EDFF" w:rsidR="00D75F95" w:rsidRPr="00D75F95" w:rsidRDefault="00D75F95" w:rsidP="00D75F95">
      <w:pPr>
        <w:jc w:val="both"/>
        <w:rPr>
          <w:rFonts w:ascii="Times New Roman" w:eastAsiaTheme="minorEastAsia" w:hAnsi="Times New Roman" w:cs="Times New Roman"/>
        </w:rPr>
      </w:pPr>
      <w:r w:rsidRPr="00D75F95">
        <w:rPr>
          <w:rFonts w:ascii="Times New Roman" w:eastAsiaTheme="minorEastAsia" w:hAnsi="Times New Roman" w:cs="Times New Roman"/>
        </w:rPr>
        <w:t>[</w:t>
      </w:r>
      <w:r>
        <w:rPr>
          <w:rFonts w:ascii="Times New Roman" w:eastAsiaTheme="minorEastAsia" w:hAnsi="Times New Roman" w:cs="Times New Roman"/>
        </w:rPr>
        <w:t>7</w:t>
      </w:r>
      <w:r w:rsidRPr="00D75F95">
        <w:rPr>
          <w:rFonts w:ascii="Times New Roman" w:eastAsiaTheme="minorEastAsia" w:hAnsi="Times New Roman" w:cs="Times New Roman"/>
        </w:rPr>
        <w:t>] TiO2 photocatalysis and related surface phenomena - ScienceDirect</w:t>
      </w:r>
    </w:p>
    <w:p w14:paraId="332A3A04" w14:textId="0D4E9A78" w:rsidR="00D75F95" w:rsidRDefault="00D75F95" w:rsidP="00D75F95">
      <w:pPr>
        <w:jc w:val="both"/>
        <w:rPr>
          <w:rFonts w:ascii="Times New Roman" w:eastAsiaTheme="minorEastAsia" w:hAnsi="Times New Roman" w:cs="Times New Roman"/>
        </w:rPr>
      </w:pPr>
      <w:r w:rsidRPr="00D75F95">
        <w:rPr>
          <w:rFonts w:ascii="Times New Roman" w:eastAsiaTheme="minorEastAsia" w:hAnsi="Times New Roman" w:cs="Times New Roman"/>
        </w:rPr>
        <w:t>[</w:t>
      </w:r>
      <w:r>
        <w:rPr>
          <w:rFonts w:ascii="Times New Roman" w:eastAsiaTheme="minorEastAsia" w:hAnsi="Times New Roman" w:cs="Times New Roman"/>
        </w:rPr>
        <w:t>8</w:t>
      </w:r>
      <w:r w:rsidRPr="00D75F95">
        <w:rPr>
          <w:rFonts w:ascii="Times New Roman" w:eastAsiaTheme="minorEastAsia" w:hAnsi="Times New Roman" w:cs="Times New Roman"/>
        </w:rPr>
        <w:t>] Comparing photoelectrochemical water oxidation, recombination kinetics and charge trapping in</w:t>
      </w:r>
      <w:r>
        <w:rPr>
          <w:rFonts w:ascii="Times New Roman" w:eastAsiaTheme="minorEastAsia" w:hAnsi="Times New Roman" w:cs="Times New Roman"/>
        </w:rPr>
        <w:t xml:space="preserve"> </w:t>
      </w:r>
      <w:r w:rsidRPr="00D75F95">
        <w:rPr>
          <w:rFonts w:ascii="Times New Roman" w:eastAsiaTheme="minorEastAsia" w:hAnsi="Times New Roman" w:cs="Times New Roman"/>
        </w:rPr>
        <w:t>the three polymorphs of TiO2 | Scientific Reports (nature.com)</w:t>
      </w:r>
    </w:p>
    <w:p w14:paraId="009D5B77" w14:textId="0C2BC54F" w:rsidR="00D75F95" w:rsidRPr="00D75F95" w:rsidRDefault="00D75F95" w:rsidP="00D75F95">
      <w:pPr>
        <w:jc w:val="both"/>
        <w:rPr>
          <w:rFonts w:ascii="Times New Roman" w:eastAsiaTheme="minorEastAsia" w:hAnsi="Times New Roman" w:cs="Times New Roman"/>
        </w:rPr>
      </w:pPr>
    </w:p>
    <w:sectPr w:rsidR="00D75F95" w:rsidRPr="00D7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6D"/>
    <w:rsid w:val="009515E1"/>
    <w:rsid w:val="00BB206D"/>
    <w:rsid w:val="00D75F95"/>
    <w:rsid w:val="00FE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C339E"/>
  <w15:chartTrackingRefBased/>
  <w15:docId w15:val="{C09254D2-67D4-F248-A840-86765F84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6D"/>
  </w:style>
  <w:style w:type="paragraph" w:styleId="Heading1">
    <w:name w:val="heading 1"/>
    <w:basedOn w:val="Normal"/>
    <w:next w:val="Normal"/>
    <w:link w:val="Heading1Char"/>
    <w:uiPriority w:val="9"/>
    <w:qFormat/>
    <w:rsid w:val="00BB2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06D"/>
    <w:rPr>
      <w:rFonts w:eastAsiaTheme="majorEastAsia" w:cstheme="majorBidi"/>
      <w:color w:val="272727" w:themeColor="text1" w:themeTint="D8"/>
    </w:rPr>
  </w:style>
  <w:style w:type="paragraph" w:styleId="Title">
    <w:name w:val="Title"/>
    <w:basedOn w:val="Normal"/>
    <w:next w:val="Normal"/>
    <w:link w:val="TitleChar"/>
    <w:uiPriority w:val="10"/>
    <w:qFormat/>
    <w:rsid w:val="00BB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06D"/>
    <w:pPr>
      <w:spacing w:before="160"/>
      <w:jc w:val="center"/>
    </w:pPr>
    <w:rPr>
      <w:i/>
      <w:iCs/>
      <w:color w:val="404040" w:themeColor="text1" w:themeTint="BF"/>
    </w:rPr>
  </w:style>
  <w:style w:type="character" w:customStyle="1" w:styleId="QuoteChar">
    <w:name w:val="Quote Char"/>
    <w:basedOn w:val="DefaultParagraphFont"/>
    <w:link w:val="Quote"/>
    <w:uiPriority w:val="29"/>
    <w:rsid w:val="00BB206D"/>
    <w:rPr>
      <w:i/>
      <w:iCs/>
      <w:color w:val="404040" w:themeColor="text1" w:themeTint="BF"/>
    </w:rPr>
  </w:style>
  <w:style w:type="paragraph" w:styleId="ListParagraph">
    <w:name w:val="List Paragraph"/>
    <w:basedOn w:val="Normal"/>
    <w:uiPriority w:val="34"/>
    <w:qFormat/>
    <w:rsid w:val="00BB206D"/>
    <w:pPr>
      <w:ind w:left="720"/>
      <w:contextualSpacing/>
    </w:pPr>
  </w:style>
  <w:style w:type="character" w:styleId="IntenseEmphasis">
    <w:name w:val="Intense Emphasis"/>
    <w:basedOn w:val="DefaultParagraphFont"/>
    <w:uiPriority w:val="21"/>
    <w:qFormat/>
    <w:rsid w:val="00BB206D"/>
    <w:rPr>
      <w:i/>
      <w:iCs/>
      <w:color w:val="0F4761" w:themeColor="accent1" w:themeShade="BF"/>
    </w:rPr>
  </w:style>
  <w:style w:type="paragraph" w:styleId="IntenseQuote">
    <w:name w:val="Intense Quote"/>
    <w:basedOn w:val="Normal"/>
    <w:next w:val="Normal"/>
    <w:link w:val="IntenseQuoteChar"/>
    <w:uiPriority w:val="30"/>
    <w:qFormat/>
    <w:rsid w:val="00BB2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06D"/>
    <w:rPr>
      <w:i/>
      <w:iCs/>
      <w:color w:val="0F4761" w:themeColor="accent1" w:themeShade="BF"/>
    </w:rPr>
  </w:style>
  <w:style w:type="character" w:styleId="IntenseReference">
    <w:name w:val="Intense Reference"/>
    <w:basedOn w:val="DefaultParagraphFont"/>
    <w:uiPriority w:val="32"/>
    <w:qFormat/>
    <w:rsid w:val="00BB206D"/>
    <w:rPr>
      <w:b/>
      <w:bCs/>
      <w:smallCaps/>
      <w:color w:val="0F4761" w:themeColor="accent1" w:themeShade="BF"/>
      <w:spacing w:val="5"/>
    </w:rPr>
  </w:style>
  <w:style w:type="table" w:styleId="TableGrid">
    <w:name w:val="Table Grid"/>
    <w:basedOn w:val="TableNormal"/>
    <w:uiPriority w:val="39"/>
    <w:rsid w:val="00BB2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5F9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94255">
      <w:bodyDiv w:val="1"/>
      <w:marLeft w:val="0"/>
      <w:marRight w:val="0"/>
      <w:marTop w:val="0"/>
      <w:marBottom w:val="0"/>
      <w:divBdr>
        <w:top w:val="none" w:sz="0" w:space="0" w:color="auto"/>
        <w:left w:val="none" w:sz="0" w:space="0" w:color="auto"/>
        <w:bottom w:val="none" w:sz="0" w:space="0" w:color="auto"/>
        <w:right w:val="none" w:sz="0" w:space="0" w:color="auto"/>
      </w:divBdr>
    </w:div>
    <w:div w:id="110588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Oisin Gushue</dc:creator>
  <cp:keywords/>
  <dc:description/>
  <cp:lastModifiedBy>Niall Oisin Gushue</cp:lastModifiedBy>
  <cp:revision>3</cp:revision>
  <dcterms:created xsi:type="dcterms:W3CDTF">2025-03-16T16:45:00Z</dcterms:created>
  <dcterms:modified xsi:type="dcterms:W3CDTF">2025-03-19T03:07:00Z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id="8MSfIqTm"/&gt;&lt;style id="http://www.zotero.org/styles/american-institute-of-physics" hasBibliography="1" bibliographyStyleHasBeenSet="0"/&gt;&lt;prefs&gt;&lt;pref name="fieldType" value="Field"/&gt;&lt;/prefs&gt;&lt;/data&gt;</vt:lpwstr>
  </property>
</Properties>
</file>